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78720" behindDoc="0" locked="0" layoutInCell="1" allowOverlap="1">
                <wp:simplePos x="0" y="0"/>
                <wp:positionH relativeFrom="column">
                  <wp:posOffset>4162425</wp:posOffset>
                </wp:positionH>
                <wp:positionV relativeFrom="paragraph">
                  <wp:posOffset>61595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27.75pt;margin-top:4.85pt;height:52.7pt;width:106pt;z-index:251678720;v-text-anchor:middle;mso-width-relative:page;mso-height-relative:page;" fillcolor="#4472C4 [3204]" filled="t" stroked="t" coordsize="21600,21600" o:gfxdata="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DW6+qX1wAAAAkBAAAPAAAAAAAAAAEAIAAAACIAAABkcnMvZG93bnJldi54bWxQ&#10;SwECFAAUAAAACACHTuJAtR+f+KMCAAAvBQAADgAAAAAAAAABACAAAAAmAQAAZHJzL2Uyb0RvYy54&#10;bWxQSwUGAAAAAAYABgBZAQAAOwY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ascii="Times New Roman" w:eastAsia="宋体"/>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ascii="Times New Roman" w:eastAsia="宋体"/>
          <w:b/>
          <w:bCs/>
          <w:color w:val="auto"/>
          <w:sz w:val="32"/>
          <w:szCs w:val="32"/>
          <w:highlight w:val="none"/>
          <w:lang w:val="en-US" w:eastAsia="zh-CN"/>
        </w:rPr>
        <w:t>采购方式：</w:t>
      </w:r>
      <w:r>
        <w:rPr>
          <w:rFonts w:hint="eastAsia"/>
          <w:b/>
          <w:bCs/>
          <w:color w:val="auto"/>
          <w:sz w:val="32"/>
          <w:szCs w:val="32"/>
          <w:highlight w:val="none"/>
          <w:lang w:val="en-US" w:eastAsia="zh-CN"/>
        </w:rPr>
        <w:t>邀请</w:t>
      </w:r>
      <w:r>
        <w:rPr>
          <w:rFonts w:hint="eastAsia" w:ascii="Times New Roman" w:eastAsia="宋体"/>
          <w:b/>
          <w:bCs/>
          <w:color w:val="auto"/>
          <w:sz w:val="32"/>
          <w:szCs w:val="32"/>
          <w:highlight w:val="none"/>
          <w:lang w:val="en-US" w:eastAsia="zh-CN"/>
        </w:rPr>
        <w:t>招标</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军队物资类项目邀请招标文件（2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0" w:name="_Toc128397940"/>
      <w:bookmarkStart w:id="1" w:name="_Toc128150016"/>
      <w:bookmarkStart w:id="2" w:name="_Toc130887460"/>
      <w:bookmarkStart w:id="3" w:name="_Toc132190594"/>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stheme="minorBidi"/>
          <w:b/>
          <w:color w:val="auto"/>
          <w:szCs w:val="22"/>
          <w:highlight w:val="none"/>
        </w:rPr>
      </w:pPr>
      <w:r>
        <w:rPr>
          <w:rFonts w:hint="eastAsia" w:ascii="黑体" w:hAnsi="黑体" w:eastAsia="黑体" w:cs="黑体"/>
          <w:bCs/>
          <w:color w:val="auto"/>
          <w:sz w:val="44"/>
          <w:szCs w:val="44"/>
          <w:highlight w:val="none"/>
        </w:rPr>
        <w:t>目   录</w:t>
      </w:r>
      <w:r>
        <w:rPr>
          <w:rFonts w:cs="宋体" w:eastAsiaTheme="minorEastAsia"/>
          <w:b/>
          <w:bCs/>
          <w:color w:val="auto"/>
          <w:sz w:val="28"/>
          <w:szCs w:val="28"/>
          <w:highlight w:val="none"/>
        </w:rPr>
        <w:fldChar w:fldCharType="begin"/>
      </w:r>
      <w:r>
        <w:rPr>
          <w:rFonts w:cs="宋体" w:eastAsiaTheme="minorEastAsia"/>
          <w:bCs/>
          <w:color w:val="auto"/>
          <w:sz w:val="28"/>
          <w:szCs w:val="28"/>
          <w:highlight w:val="none"/>
        </w:rPr>
        <w:instrText xml:space="preserve"> TOC \o "1-3" \h \z \u </w:instrText>
      </w:r>
      <w:r>
        <w:rPr>
          <w:rFonts w:cs="宋体" w:eastAsiaTheme="minorEastAsia"/>
          <w:b/>
          <w:bCs/>
          <w:color w:val="auto"/>
          <w:sz w:val="28"/>
          <w:szCs w:val="28"/>
          <w:highlight w:val="none"/>
        </w:rPr>
        <w:fldChar w:fldCharType="separate"/>
      </w:r>
      <w:r>
        <w:rPr>
          <w:color w:val="auto"/>
          <w:highlight w:val="none"/>
        </w:rPr>
        <w:fldChar w:fldCharType="begin"/>
      </w:r>
      <w:r>
        <w:rPr>
          <w:color w:val="auto"/>
          <w:highlight w:val="none"/>
        </w:rPr>
        <w:instrText xml:space="preserve"> HYPERLINK \l "_Toc132190117"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"_Toc132190118" </w:instrText>
      </w:r>
      <w:r>
        <w:rPr>
          <w:color w:val="auto"/>
          <w:highlight w:val="none"/>
        </w:rPr>
        <w:fldChar w:fldCharType="separate"/>
      </w:r>
      <w:r>
        <w:rPr>
          <w:rStyle w:val="48"/>
          <w:rFonts w:ascii="宋体" w:hAnsi="宋体" w:eastAsia="宋体"/>
          <w:color w:val="auto"/>
          <w:highlight w:val="none"/>
          <w:lang w:val="zh-CN"/>
        </w:rPr>
        <w:t>第一章 投标供应商</w:t>
      </w:r>
      <w:r>
        <w:rPr>
          <w:rStyle w:val="48"/>
          <w:rFonts w:ascii="宋体" w:hAnsi="宋体" w:eastAsia="宋体"/>
          <w:color w:val="auto"/>
          <w:highlight w:val="none"/>
        </w:rPr>
        <w:t>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_Toc132190118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"_Toc132190119"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_Toc132190119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"_Toc132190120" </w:instrText>
      </w:r>
      <w:r>
        <w:rPr>
          <w:color w:val="auto"/>
          <w:highlight w:val="none"/>
        </w:rPr>
        <w:fldChar w:fldCharType="separate"/>
      </w:r>
      <w:r>
        <w:rPr>
          <w:rStyle w:val="48"/>
          <w:rFonts w:ascii="宋体" w:hAnsi="宋体" w:eastAsia="宋体"/>
          <w:color w:val="auto"/>
          <w:highlight w:val="none"/>
        </w:rPr>
        <w:t>二、招标文件的内容及澄清与修改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_Toc132190120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"_Toc132190121" </w:instrText>
      </w:r>
      <w:r>
        <w:rPr>
          <w:color w:val="auto"/>
          <w:highlight w:val="none"/>
        </w:rPr>
        <w:fldChar w:fldCharType="separate"/>
      </w:r>
      <w:r>
        <w:rPr>
          <w:rStyle w:val="48"/>
          <w:rFonts w:ascii="宋体" w:hAnsi="宋体" w:eastAsia="宋体"/>
          <w:color w:val="auto"/>
          <w:highlight w:val="none"/>
        </w:rPr>
        <w:t>三、投标文件的基本要求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_Toc132190121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"_Toc132190122" </w:instrText>
      </w:r>
      <w:r>
        <w:rPr>
          <w:color w:val="auto"/>
          <w:highlight w:val="none"/>
        </w:rPr>
        <w:fldChar w:fldCharType="separate"/>
      </w:r>
      <w:r>
        <w:rPr>
          <w:rStyle w:val="48"/>
          <w:rFonts w:ascii="宋体" w:hAnsi="宋体" w:eastAsia="宋体"/>
          <w:color w:val="auto"/>
          <w:highlight w:val="none"/>
        </w:rPr>
        <w:t>四、投标文件提交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_Toc132190122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"_Toc132190123" </w:instrText>
      </w:r>
      <w:r>
        <w:rPr>
          <w:color w:val="auto"/>
          <w:highlight w:val="none"/>
        </w:rPr>
        <w:fldChar w:fldCharType="separate"/>
      </w:r>
      <w:r>
        <w:rPr>
          <w:rStyle w:val="48"/>
          <w:rFonts w:ascii="宋体" w:hAnsi="宋体" w:eastAsia="宋体"/>
          <w:color w:val="auto"/>
          <w:highlight w:val="none"/>
        </w:rPr>
        <w:t>五、开标与评标</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_Toc132190123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"_Toc132190124" </w:instrText>
      </w:r>
      <w:r>
        <w:rPr>
          <w:color w:val="auto"/>
          <w:highlight w:val="none"/>
        </w:rPr>
        <w:fldChar w:fldCharType="separate"/>
      </w:r>
      <w:r>
        <w:rPr>
          <w:rStyle w:val="48"/>
          <w:rFonts w:ascii="宋体" w:hAnsi="宋体" w:eastAsia="宋体"/>
          <w:color w:val="auto"/>
          <w:highlight w:val="none"/>
        </w:rPr>
        <w:t>六、定标</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_Toc132190124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"_Toc132190125"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_Toc132190125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"_Toc132190126"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_Toc132190126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"_Toc132190127"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_Toc132190127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"_Toc132190128" </w:instrText>
      </w:r>
      <w:r>
        <w:rPr>
          <w:color w:val="auto"/>
          <w:highlight w:val="none"/>
        </w:rPr>
        <w:fldChar w:fldCharType="separate"/>
      </w:r>
      <w:r>
        <w:rPr>
          <w:rStyle w:val="48"/>
          <w:rFonts w:ascii="宋体" w:hAnsi="宋体" w:eastAsia="宋体" w:cs="黑体"/>
          <w:color w:val="auto"/>
          <w:highlight w:val="none"/>
        </w:rPr>
        <w:t>附页1 招标文件更正确认函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_Toc132190128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"_Toc132190129"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_Toc132190129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"_Toc132190130"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_Toc132190130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"_Toc132190131"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_Toc132190131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"_Toc132190132"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_Toc132190132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"_Toc132190133"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_Toc132190133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"_Toc132190134"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_Toc132190134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"_Toc132190135"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_Toc132190135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"_Toc132190136"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_Toc132190136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"_Toc132190137"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_Toc132190137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"_Toc132190138"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_Toc132190138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"_Toc132190139"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_Toc132190139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"_Toc132190140"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_Toc132190140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"_Toc132190141"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_Toc132190141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"_Toc132190142" </w:instrText>
      </w:r>
      <w:r>
        <w:rPr>
          <w:color w:val="auto"/>
          <w:highlight w:val="none"/>
        </w:rPr>
        <w:fldChar w:fldCharType="separate"/>
      </w:r>
      <w:r>
        <w:rPr>
          <w:rStyle w:val="48"/>
          <w:rFonts w:ascii="宋体" w:hAnsi="宋体" w:eastAsia="宋体"/>
          <w:color w:val="auto"/>
          <w:highlight w:val="none"/>
        </w:rPr>
        <w:t>第三章 投标文件内容及格式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_Toc132190142 \h </w:instrText>
      </w:r>
      <w:r>
        <w:rPr>
          <w:rFonts w:ascii="宋体" w:hAnsi="宋体" w:eastAsia="宋体"/>
          <w:color w:val="auto"/>
          <w:highlight w:val="none"/>
        </w:rPr>
        <w:fldChar w:fldCharType="separate"/>
      </w:r>
      <w:r>
        <w:rPr>
          <w:rFonts w:ascii="宋体" w:hAnsi="宋体" w:eastAsia="宋体"/>
          <w:color w:val="auto"/>
          <w:highlight w:val="none"/>
        </w:rPr>
        <w:t>37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"_Toc132190143" </w:instrText>
      </w:r>
      <w:r>
        <w:rPr>
          <w:color w:val="auto"/>
          <w:highlight w:val="none"/>
        </w:rPr>
        <w:fldChar w:fldCharType="separate"/>
      </w:r>
      <w:r>
        <w:rPr>
          <w:rStyle w:val="48"/>
          <w:rFonts w:ascii="宋体" w:hAnsi="宋体" w:eastAsia="宋体"/>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_Toc132190143 \h </w:instrText>
      </w:r>
      <w:r>
        <w:rPr>
          <w:rFonts w:ascii="宋体" w:hAnsi="宋体" w:eastAsia="宋体"/>
          <w:color w:val="auto"/>
          <w:highlight w:val="none"/>
        </w:rPr>
        <w:fldChar w:fldCharType="separate"/>
      </w:r>
      <w:r>
        <w:rPr>
          <w:rFonts w:ascii="宋体" w:hAnsi="宋体" w:eastAsia="宋体"/>
          <w:color w:val="auto"/>
          <w:highlight w:val="none"/>
        </w:rPr>
        <w:t>38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"_Toc132190144" </w:instrText>
      </w:r>
      <w:r>
        <w:rPr>
          <w:color w:val="auto"/>
          <w:highlight w:val="none"/>
        </w:rPr>
        <w:fldChar w:fldCharType="separate"/>
      </w:r>
      <w:r>
        <w:rPr>
          <w:rStyle w:val="48"/>
          <w:rFonts w:ascii="宋体" w:hAnsi="宋体" w:eastAsia="宋体"/>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_Toc132190144 \h </w:instrText>
      </w:r>
      <w:r>
        <w:rPr>
          <w:rFonts w:ascii="宋体" w:hAnsi="宋体" w:eastAsia="宋体"/>
          <w:color w:val="auto"/>
          <w:highlight w:val="none"/>
        </w:rPr>
        <w:fldChar w:fldCharType="separate"/>
      </w:r>
      <w:r>
        <w:rPr>
          <w:rFonts w:ascii="宋体" w:hAnsi="宋体" w:eastAsia="宋体"/>
          <w:color w:val="auto"/>
          <w:highlight w:val="none"/>
        </w:rPr>
        <w:t>45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"_Toc132190145" </w:instrText>
      </w:r>
      <w:r>
        <w:rPr>
          <w:color w:val="auto"/>
          <w:highlight w:val="none"/>
        </w:rPr>
        <w:fldChar w:fldCharType="separate"/>
      </w:r>
      <w:r>
        <w:rPr>
          <w:rStyle w:val="48"/>
          <w:rFonts w:ascii="宋体" w:hAnsi="宋体" w:eastAsia="宋体"/>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_Toc132190145 \h </w:instrText>
      </w:r>
      <w:r>
        <w:rPr>
          <w:rFonts w:ascii="宋体" w:hAnsi="宋体" w:eastAsia="宋体"/>
          <w:color w:val="auto"/>
          <w:highlight w:val="none"/>
        </w:rPr>
        <w:fldChar w:fldCharType="separate"/>
      </w:r>
      <w:r>
        <w:rPr>
          <w:rFonts w:ascii="宋体" w:hAnsi="宋体" w:eastAsia="宋体"/>
          <w:color w:val="auto"/>
          <w:highlight w:val="none"/>
        </w:rPr>
        <w:t>61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2"/>
        <w:adjustRightInd w:val="0"/>
        <w:snapToGrid w:val="0"/>
        <w:spacing w:line="560" w:lineRule="exact"/>
        <w:ind w:left="-69" w:leftChars="-33" w:firstLine="560" w:firstLineChars="200"/>
        <w:jc w:val="center"/>
        <w:rPr>
          <w:rFonts w:hAnsi="宋体" w:cs="宋体"/>
          <w:bCs/>
          <w:color w:val="auto"/>
          <w:sz w:val="24"/>
          <w:szCs w:val="24"/>
          <w:highlight w:val="none"/>
        </w:rPr>
        <w:sectPr>
          <w:headerReference r:id="rId3" w:type="default"/>
          <w:pgSz w:w="11906" w:h="16838"/>
          <w:pgMar w:top="1418" w:right="1134" w:bottom="1418" w:left="1418" w:header="851" w:footer="851" w:gutter="0"/>
          <w:cols w:space="720" w:num="1"/>
        </w:sectPr>
      </w:pPr>
      <w:r>
        <w:rPr>
          <w:rFonts w:cs="宋体" w:asciiTheme="minorEastAsia" w:hAnsiTheme="minorEastAsia" w:eastAsiaTheme="minorEastAsia"/>
          <w:bCs/>
          <w:color w:val="auto"/>
          <w:sz w:val="28"/>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285612601"/>
      <w:bookmarkStart w:id="5" w:name="_Toc17163"/>
      <w:bookmarkStart w:id="6" w:name="_Toc18037"/>
      <w:bookmarkStart w:id="7" w:name="_Toc240432230"/>
      <w:bookmarkStart w:id="8" w:name="_Toc390713968"/>
      <w:bookmarkStart w:id="9" w:name="_Toc18376"/>
      <w:bookmarkStart w:id="10" w:name="_Toc132190118"/>
      <w:bookmarkStart w:id="11" w:name="_Toc16893"/>
      <w:bookmarkStart w:id="12" w:name="_Toc23099"/>
      <w:bookmarkStart w:id="13" w:name="_Toc112317766"/>
      <w:bookmarkStart w:id="14" w:name="_Hlk112258849"/>
      <w:bookmarkStart w:id="15" w:name="第一部分"/>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投标供应商</w:t>
      </w:r>
      <w:r>
        <w:rPr>
          <w:rFonts w:hint="eastAsia"/>
          <w:b w:val="0"/>
          <w:color w:val="auto"/>
          <w:szCs w:val="44"/>
          <w:highlight w:val="none"/>
        </w:rPr>
        <w:t>须知</w:t>
      </w:r>
      <w:bookmarkEnd w:id="4"/>
      <w:bookmarkEnd w:id="5"/>
      <w:bookmarkEnd w:id="6"/>
      <w:bookmarkEnd w:id="7"/>
      <w:bookmarkEnd w:id="8"/>
      <w:bookmarkEnd w:id="9"/>
      <w:bookmarkEnd w:id="10"/>
      <w:bookmarkEnd w:id="11"/>
      <w:bookmarkEnd w:id="12"/>
      <w:bookmarkEnd w:id="13"/>
    </w:p>
    <w:bookmarkEnd w:id="14"/>
    <w:p>
      <w:pPr>
        <w:pStyle w:val="5"/>
        <w:keepNext w:val="0"/>
        <w:keepLines w:val="0"/>
        <w:adjustRightInd w:val="0"/>
        <w:snapToGrid w:val="0"/>
        <w:spacing w:before="120" w:beforeLines="50" w:after="120" w:afterLines="50" w:line="560" w:lineRule="exact"/>
        <w:jc w:val="center"/>
        <w:rPr>
          <w:b w:val="0"/>
          <w:color w:val="auto"/>
          <w:highlight w:val="none"/>
        </w:rPr>
      </w:pPr>
      <w:bookmarkStart w:id="16" w:name="_Toc4472"/>
      <w:bookmarkStart w:id="17" w:name="_Toc27103"/>
      <w:bookmarkStart w:id="18" w:name="_Toc12143"/>
      <w:bookmarkStart w:id="19" w:name="_Toc132190119"/>
      <w:bookmarkStart w:id="20" w:name="_Toc29252"/>
      <w:bookmarkStart w:id="21" w:name="_Toc112317767"/>
      <w:bookmarkStart w:id="22" w:name="_Toc29441"/>
      <w:r>
        <w:rPr>
          <w:rFonts w:hint="eastAsia"/>
          <w:b w:val="0"/>
          <w:color w:val="auto"/>
          <w:highlight w:val="none"/>
        </w:rPr>
        <w:t>一、</w:t>
      </w:r>
      <w:r>
        <w:rPr>
          <w:b w:val="0"/>
          <w:color w:val="auto"/>
          <w:highlight w:val="none"/>
        </w:rPr>
        <w:t xml:space="preserve">说  </w:t>
      </w:r>
      <w:r>
        <w:rPr>
          <w:rFonts w:hint="eastAsia"/>
          <w:b w:val="0"/>
          <w:color w:val="auto"/>
          <w:highlight w:val="none"/>
        </w:rPr>
        <w:t>明</w:t>
      </w:r>
      <w:bookmarkEnd w:id="16"/>
      <w:bookmarkEnd w:id="17"/>
      <w:bookmarkEnd w:id="18"/>
      <w:bookmarkEnd w:id="19"/>
      <w:bookmarkEnd w:id="20"/>
      <w:bookmarkEnd w:id="21"/>
      <w:bookmarkEnd w:id="22"/>
    </w:p>
    <w:p>
      <w:pPr>
        <w:pStyle w:val="6"/>
        <w:keepNext w:val="0"/>
        <w:keepLines w:val="0"/>
        <w:adjustRightInd w:val="0"/>
        <w:snapToGrid w:val="0"/>
        <w:spacing w:before="0" w:after="0" w:line="560" w:lineRule="exact"/>
        <w:ind w:firstLine="560" w:firstLineChars="200"/>
        <w:rPr>
          <w:rFonts w:ascii="黑体" w:hAnsi="黑体"/>
          <w:snapToGrid w:val="0"/>
          <w:color w:val="auto"/>
          <w:highlight w:val="none"/>
          <w:lang w:val="zh-CN"/>
        </w:rPr>
      </w:pPr>
      <w:bookmarkStart w:id="23" w:name="_Toc6018"/>
      <w:bookmarkStart w:id="24" w:name="_Toc12237"/>
      <w:bookmarkStart w:id="25" w:name="_Toc21244"/>
      <w:bookmarkStart w:id="26" w:name="_Toc11025"/>
      <w:bookmarkStart w:id="27" w:name="_Toc23696"/>
      <w:r>
        <w:rPr>
          <w:rFonts w:ascii="黑体" w:hAnsi="黑体"/>
          <w:b w:val="0"/>
          <w:color w:val="auto"/>
          <w:highlight w:val="none"/>
        </w:rPr>
        <w:t>1</w:t>
      </w:r>
      <w:r>
        <w:rPr>
          <w:rFonts w:ascii="黑体" w:hAnsi="黑体"/>
          <w:b w:val="0"/>
          <w:snapToGrid w:val="0"/>
          <w:color w:val="auto"/>
          <w:highlight w:val="none"/>
        </w:rPr>
        <w:t>.</w:t>
      </w:r>
      <w:r>
        <w:rPr>
          <w:rFonts w:ascii="黑体" w:hAnsi="黑体"/>
          <w:b w:val="0"/>
          <w:color w:val="auto"/>
          <w:highlight w:val="none"/>
        </w:rPr>
        <w:t>概述</w:t>
      </w:r>
      <w:bookmarkEnd w:id="23"/>
      <w:bookmarkEnd w:id="24"/>
      <w:bookmarkEnd w:id="25"/>
      <w:bookmarkEnd w:id="26"/>
      <w:bookmarkEnd w:id="27"/>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1.1本文件适用于军队物资类邀请招标采购项目，用于明确一般性组织程序和实施要求。投标供应商应当结合采购项目招标文件的专用文件，全面了解采购项目信息。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rPr>
        <w:t>招标投标各参加方，对在参与招标投标过程中获悉的国家、军队和商业秘密，以及其他依法应当保密的内容，均负有保密义务，违者应当承担相应的法律责任。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8" w:name="_Toc14495"/>
      <w:bookmarkStart w:id="29" w:name="_Toc15196"/>
      <w:bookmarkStart w:id="30" w:name="_Toc29616"/>
      <w:bookmarkStart w:id="31" w:name="_Toc22037"/>
      <w:bookmarkStart w:id="32" w:name="_Toc4805"/>
      <w:r>
        <w:rPr>
          <w:rFonts w:ascii="黑体" w:hAnsi="黑体"/>
          <w:b w:val="0"/>
          <w:color w:val="auto"/>
          <w:highlight w:val="none"/>
        </w:rPr>
        <w:t>2.定义</w:t>
      </w:r>
      <w:bookmarkEnd w:id="28"/>
      <w:bookmarkEnd w:id="29"/>
      <w:bookmarkEnd w:id="30"/>
      <w:bookmarkEnd w:id="31"/>
      <w:bookmarkEnd w:id="32"/>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指本招标文件描述的所需采购的物资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指组织本次招标的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33"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中标供应商</w:t>
      </w:r>
      <w:bookmarkEnd w:id="33"/>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2.6“中标供应商”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bookmarkStart w:id="34" w:name="_Hlk112351339"/>
      <w:bookmarkStart w:id="35" w:name="_Hlk112259183"/>
      <w:r>
        <w:rPr>
          <w:rFonts w:hint="eastAsia" w:ascii="宋体" w:hAnsi="宋体"/>
          <w:bCs/>
          <w:snapToGrid w:val="0"/>
          <w:color w:val="auto"/>
          <w:sz w:val="28"/>
          <w:szCs w:val="28"/>
          <w:highlight w:val="none"/>
          <w:lang w:val="zh-CN"/>
        </w:rPr>
        <w:t>获得合同签订资格</w:t>
      </w:r>
      <w:bookmarkEnd w:id="34"/>
      <w:r>
        <w:rPr>
          <w:rFonts w:ascii="宋体" w:hAnsi="宋体"/>
          <w:bCs/>
          <w:snapToGrid w:val="0"/>
          <w:color w:val="auto"/>
          <w:sz w:val="28"/>
          <w:szCs w:val="28"/>
          <w:highlight w:val="none"/>
          <w:lang w:val="zh-CN"/>
        </w:rPr>
        <w:t>的投标供应商</w:t>
      </w:r>
      <w:bookmarkEnd w:id="35"/>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6" w:name="_Toc30001"/>
      <w:bookmarkStart w:id="37" w:name="_Toc2480"/>
      <w:bookmarkStart w:id="38" w:name="_Toc31323"/>
      <w:bookmarkStart w:id="39" w:name="_Toc20918"/>
      <w:bookmarkStart w:id="40" w:name="_Toc6915"/>
      <w:r>
        <w:rPr>
          <w:rFonts w:ascii="黑体" w:hAnsi="黑体"/>
          <w:b w:val="0"/>
          <w:color w:val="auto"/>
          <w:highlight w:val="none"/>
        </w:rPr>
        <w:t>3.合格的投标供应商</w:t>
      </w:r>
      <w:bookmarkEnd w:id="36"/>
      <w:bookmarkEnd w:id="37"/>
      <w:bookmarkEnd w:id="38"/>
      <w:bookmarkEnd w:id="39"/>
      <w:bookmarkEnd w:id="40"/>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3.1能够遵守国家和军队的有关法律、法规和本次招标的有关规定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rPr>
        <w:t>所述的投标供应商资格条件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3.3能够承担投标</w:t>
      </w:r>
      <w:r>
        <w:rPr>
          <w:rFonts w:hint="eastAsia" w:ascii="宋体" w:hAnsi="宋体"/>
          <w:bCs/>
          <w:snapToGrid w:val="0"/>
          <w:color w:val="auto"/>
          <w:sz w:val="28"/>
          <w:szCs w:val="28"/>
          <w:highlight w:val="none"/>
        </w:rPr>
        <w:t>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1" w:name="_Toc31193"/>
      <w:bookmarkStart w:id="42" w:name="_Toc2619"/>
      <w:bookmarkStart w:id="43" w:name="_Toc385"/>
      <w:bookmarkStart w:id="44" w:name="_Toc20678"/>
      <w:bookmarkStart w:id="45" w:name="_Toc16827"/>
      <w:r>
        <w:rPr>
          <w:rFonts w:ascii="黑体" w:hAnsi="黑体"/>
          <w:b w:val="0"/>
          <w:color w:val="auto"/>
          <w:highlight w:val="none"/>
        </w:rPr>
        <w:t>4.</w:t>
      </w:r>
      <w:r>
        <w:rPr>
          <w:rFonts w:hint="eastAsia" w:ascii="黑体" w:hAnsi="黑体"/>
          <w:b w:val="0"/>
          <w:color w:val="auto"/>
          <w:highlight w:val="none"/>
        </w:rPr>
        <w:t>合格的物资及其相关服务</w:t>
      </w:r>
      <w:bookmarkEnd w:id="41"/>
      <w:bookmarkEnd w:id="42"/>
      <w:bookmarkEnd w:id="43"/>
      <w:bookmarkEnd w:id="44"/>
      <w:bookmarkEnd w:id="45"/>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w:t>
      </w:r>
      <w:r>
        <w:rPr>
          <w:rFonts w:hint="eastAsia" w:ascii="宋体" w:hAnsi="宋体"/>
          <w:bCs/>
          <w:snapToGrid w:val="0"/>
          <w:color w:val="auto"/>
          <w:sz w:val="28"/>
          <w:szCs w:val="28"/>
          <w:highlight w:val="none"/>
        </w:rPr>
        <w:t>.</w:t>
      </w:r>
      <w:r>
        <w:rPr>
          <w:rFonts w:ascii="宋体" w:hAnsi="宋体"/>
          <w:bCs/>
          <w:snapToGrid w:val="0"/>
          <w:color w:val="auto"/>
          <w:sz w:val="28"/>
          <w:szCs w:val="28"/>
          <w:highlight w:val="none"/>
        </w:rPr>
        <w:t>1投标供应商对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4.2投标供应商提供的物资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未使用过的，物资和相关服务应当符合招标文件要求。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6" w:name="_Toc14319"/>
      <w:bookmarkStart w:id="47" w:name="_Toc19329"/>
      <w:bookmarkStart w:id="48" w:name="_Toc5684"/>
      <w:bookmarkStart w:id="49" w:name="_Toc20084"/>
      <w:bookmarkStart w:id="50" w:name="_Toc32694"/>
      <w:r>
        <w:rPr>
          <w:rFonts w:ascii="黑体" w:hAnsi="黑体"/>
          <w:b w:val="0"/>
          <w:color w:val="auto"/>
          <w:highlight w:val="none"/>
        </w:rPr>
        <w:t>5.</w:t>
      </w:r>
      <w:r>
        <w:rPr>
          <w:rFonts w:hint="eastAsia" w:ascii="黑体" w:hAnsi="黑体"/>
          <w:b w:val="0"/>
          <w:color w:val="auto"/>
          <w:highlight w:val="none"/>
        </w:rPr>
        <w:t>投标委托</w:t>
      </w:r>
      <w:bookmarkEnd w:id="46"/>
      <w:bookmarkEnd w:id="47"/>
      <w:bookmarkEnd w:id="48"/>
      <w:bookmarkEnd w:id="49"/>
      <w:bookmarkEnd w:id="50"/>
    </w:p>
    <w:p>
      <w:pPr>
        <w:adjustRightInd w:val="0"/>
        <w:snapToGrid w:val="0"/>
        <w:spacing w:line="560" w:lineRule="exact"/>
        <w:ind w:firstLine="560" w:firstLineChars="200"/>
        <w:rPr>
          <w:bCs/>
          <w:snapToGrid w:val="0"/>
          <w:color w:val="auto"/>
          <w:sz w:val="28"/>
          <w:szCs w:val="28"/>
          <w:highlight w:val="none"/>
        </w:rPr>
      </w:pPr>
      <w:r>
        <w:rPr>
          <w:bCs/>
          <w:snapToGrid w:val="0"/>
          <w:color w:val="auto"/>
          <w:sz w:val="28"/>
          <w:szCs w:val="28"/>
          <w:highlight w:val="none"/>
        </w:rPr>
        <w:t>5.1</w:t>
      </w:r>
      <w:r>
        <w:rPr>
          <w:rFonts w:hint="eastAsia"/>
          <w:bCs/>
          <w:snapToGrid w:val="0"/>
          <w:color w:val="auto"/>
          <w:sz w:val="28"/>
          <w:szCs w:val="28"/>
          <w:highlight w:val="none"/>
        </w:rPr>
        <w:t>如投标供应商代表不是法定代表人，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在投标文件中提供《法定代表人授权书》，后附授权代表在投标前</w:t>
      </w:r>
      <w:r>
        <w:rPr>
          <w:rFonts w:hint="eastAsia"/>
          <w:bCs/>
          <w:snapToGrid w:val="0"/>
          <w:color w:val="auto"/>
          <w:sz w:val="28"/>
          <w:szCs w:val="28"/>
          <w:highlight w:val="none"/>
          <w:lang w:eastAsia="zh-CN"/>
        </w:rPr>
        <w:t>近1年内任意1个月</w:t>
      </w:r>
      <w:r>
        <w:rPr>
          <w:rFonts w:hint="eastAsia"/>
          <w:bCs/>
          <w:snapToGrid w:val="0"/>
          <w:color w:val="auto"/>
          <w:sz w:val="28"/>
          <w:szCs w:val="28"/>
          <w:highlight w:val="none"/>
        </w:rPr>
        <w:t>由投标供应商缴纳社保证明材料。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1" w:name="_Toc9227"/>
      <w:bookmarkStart w:id="52" w:name="_Toc19327"/>
      <w:bookmarkStart w:id="53" w:name="_Toc10346"/>
      <w:bookmarkStart w:id="54" w:name="_Toc8712"/>
      <w:bookmarkStart w:id="55" w:name="_Toc5124"/>
      <w:r>
        <w:rPr>
          <w:rFonts w:ascii="黑体" w:hAnsi="黑体"/>
          <w:b w:val="0"/>
          <w:color w:val="auto"/>
          <w:highlight w:val="none"/>
        </w:rPr>
        <w:t>6.</w:t>
      </w:r>
      <w:r>
        <w:rPr>
          <w:rFonts w:hint="eastAsia" w:ascii="黑体" w:hAnsi="黑体"/>
          <w:b w:val="0"/>
          <w:color w:val="auto"/>
          <w:highlight w:val="none"/>
        </w:rPr>
        <w:t>投标费用</w:t>
      </w:r>
      <w:bookmarkEnd w:id="51"/>
      <w:bookmarkEnd w:id="52"/>
      <w:bookmarkEnd w:id="53"/>
      <w:bookmarkEnd w:id="54"/>
      <w:bookmarkEnd w:id="55"/>
    </w:p>
    <w:p>
      <w:pPr>
        <w:adjustRightInd w:val="0"/>
        <w:snapToGrid w:val="0"/>
        <w:spacing w:line="560" w:lineRule="exact"/>
        <w:ind w:firstLine="560" w:firstLineChars="200"/>
        <w:rPr>
          <w:bCs/>
          <w:snapToGrid w:val="0"/>
          <w:color w:val="auto"/>
          <w:sz w:val="28"/>
          <w:szCs w:val="28"/>
          <w:highlight w:val="none"/>
        </w:rPr>
      </w:pPr>
      <w:r>
        <w:rPr>
          <w:bCs/>
          <w:snapToGrid w:val="0"/>
          <w:color w:val="auto"/>
          <w:sz w:val="28"/>
          <w:szCs w:val="28"/>
          <w:highlight w:val="none"/>
        </w:rPr>
        <w:t>6.1</w:t>
      </w:r>
      <w:r>
        <w:rPr>
          <w:rFonts w:hint="eastAsia"/>
          <w:bCs/>
          <w:snapToGrid w:val="0"/>
          <w:color w:val="auto"/>
          <w:sz w:val="28"/>
          <w:szCs w:val="28"/>
          <w:highlight w:val="none"/>
        </w:rPr>
        <w:t>无论投标结果如何，投标供应商均应当自行承担准备和参加投标相关的全部费用。</w:t>
      </w:r>
      <w:bookmarkStart w:id="56" w:name="_Toc112317768"/>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7" w:name="_Toc3327"/>
      <w:bookmarkStart w:id="58" w:name="_Toc5556"/>
      <w:bookmarkStart w:id="59" w:name="_Toc21299"/>
      <w:bookmarkStart w:id="60" w:name="_Toc28246"/>
      <w:bookmarkStart w:id="61" w:name="_Toc24601"/>
      <w:r>
        <w:rPr>
          <w:rFonts w:ascii="黑体" w:hAnsi="黑体"/>
          <w:b w:val="0"/>
          <w:color w:val="auto"/>
          <w:highlight w:val="none"/>
        </w:rPr>
        <w:t>7.</w:t>
      </w:r>
      <w:r>
        <w:rPr>
          <w:rFonts w:hint="eastAsia" w:ascii="黑体" w:hAnsi="黑体"/>
          <w:b w:val="0"/>
          <w:color w:val="auto"/>
          <w:highlight w:val="none"/>
        </w:rPr>
        <w:t>组织现场踏勘或召开标前答疑会</w:t>
      </w:r>
      <w:bookmarkEnd w:id="57"/>
      <w:bookmarkEnd w:id="58"/>
      <w:bookmarkEnd w:id="59"/>
      <w:bookmarkEnd w:id="60"/>
      <w:bookmarkEnd w:id="61"/>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【投标供应商须知前附表】明确的招标文件申领时间截止后，组织已获取招标文件的投标供应商现场踏勘或召开标前答疑会。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申领招标文件的供应商</w:t>
      </w:r>
      <w:r>
        <w:rPr>
          <w:rFonts w:hint="eastAsia" w:asciiTheme="minorEastAsia" w:hAnsiTheme="minorEastAsia" w:eastAsiaTheme="minorEastAsia"/>
          <w:bCs/>
          <w:color w:val="auto"/>
          <w:sz w:val="28"/>
          <w:szCs w:val="28"/>
          <w:highlight w:val="none"/>
        </w:rPr>
        <w:t>按【投标供应商须知前附表】明确的要求参加现场踏勘或标前答疑会；如不参加，风险自行承担。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7.3投标供应商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招标文件或最终书面答复之外，投标供应商自行得出的推论、理解和结论</w:t>
      </w:r>
      <w:r>
        <w:rPr>
          <w:rFonts w:asciiTheme="minorEastAsia" w:hAnsiTheme="minorEastAsia" w:eastAsiaTheme="minorEastAsia"/>
          <w:bCs/>
          <w:color w:val="auto"/>
          <w:sz w:val="28"/>
          <w:szCs w:val="28"/>
          <w:highlight w:val="none"/>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Theme="minorEastAsia" w:hAnsiTheme="minorEastAsia" w:eastAsiaTheme="minorEastAsia"/>
          <w:bCs/>
          <w:color w:val="auto"/>
          <w:sz w:val="28"/>
          <w:szCs w:val="28"/>
          <w:highlight w:val="none"/>
        </w:rPr>
        <w:t>一旦中标，不得以任何借口，提出额外补偿或延长合同期限</w:t>
      </w:r>
      <w:bookmarkStart w:id="62" w:name="_Hlk126864900"/>
      <w:r>
        <w:rPr>
          <w:rFonts w:hint="eastAsia" w:asciiTheme="minorEastAsia" w:hAnsiTheme="minorEastAsia" w:eastAsiaTheme="minorEastAsia"/>
          <w:bCs/>
          <w:color w:val="auto"/>
          <w:sz w:val="28"/>
          <w:szCs w:val="28"/>
          <w:highlight w:val="none"/>
        </w:rPr>
        <w:t>等不合理</w:t>
      </w:r>
      <w:bookmarkEnd w:id="62"/>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63" w:name="_Toc27257"/>
      <w:bookmarkStart w:id="64" w:name="_Toc12020"/>
      <w:bookmarkStart w:id="65" w:name="_Toc31752"/>
      <w:bookmarkStart w:id="66" w:name="_Toc22602"/>
      <w:bookmarkStart w:id="67" w:name="_Toc15865"/>
      <w:r>
        <w:rPr>
          <w:rFonts w:ascii="黑体" w:hAnsi="黑体"/>
          <w:b w:val="0"/>
          <w:color w:val="auto"/>
          <w:highlight w:val="none"/>
        </w:rPr>
        <w:t>8.</w:t>
      </w:r>
      <w:r>
        <w:rPr>
          <w:rFonts w:hint="eastAsia" w:ascii="黑体" w:hAnsi="黑体"/>
          <w:b w:val="0"/>
          <w:color w:val="auto"/>
          <w:highlight w:val="none"/>
        </w:rPr>
        <w:t>信息发布及媒体</w:t>
      </w:r>
      <w:bookmarkEnd w:id="63"/>
      <w:bookmarkEnd w:id="64"/>
      <w:bookmarkEnd w:id="65"/>
      <w:bookmarkEnd w:id="66"/>
      <w:bookmarkEnd w:id="67"/>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68" w:name="_Hlk112497301"/>
      <w:r>
        <w:rPr>
          <w:rFonts w:hint="eastAsia" w:asciiTheme="minorEastAsia" w:hAnsiTheme="minorEastAsia" w:eastAsiaTheme="minorEastAsia"/>
          <w:bCs/>
          <w:color w:val="auto"/>
          <w:sz w:val="28"/>
          <w:szCs w:val="28"/>
          <w:highlight w:val="none"/>
        </w:rPr>
        <w:t>【投标供应商须知前附表】明确的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68"/>
    </w:p>
    <w:p>
      <w:pPr>
        <w:pStyle w:val="5"/>
        <w:keepNext w:val="0"/>
        <w:keepLines w:val="0"/>
        <w:adjustRightInd w:val="0"/>
        <w:snapToGrid w:val="0"/>
        <w:spacing w:before="120" w:beforeLines="50" w:after="120" w:afterLines="50" w:line="560" w:lineRule="exact"/>
        <w:jc w:val="center"/>
        <w:rPr>
          <w:b w:val="0"/>
          <w:color w:val="auto"/>
          <w:highlight w:val="none"/>
        </w:rPr>
      </w:pPr>
      <w:bookmarkStart w:id="69" w:name="_Toc25654"/>
      <w:bookmarkStart w:id="70" w:name="_Toc2754"/>
      <w:bookmarkStart w:id="71" w:name="_Toc19582"/>
      <w:bookmarkStart w:id="72" w:name="_Toc6455"/>
      <w:bookmarkStart w:id="73" w:name="_Toc12848"/>
      <w:bookmarkStart w:id="74" w:name="_Toc132190120"/>
      <w:r>
        <w:rPr>
          <w:rFonts w:hint="eastAsia"/>
          <w:b w:val="0"/>
          <w:color w:val="auto"/>
          <w:highlight w:val="none"/>
        </w:rPr>
        <w:t>二、招标文件</w:t>
      </w:r>
      <w:bookmarkEnd w:id="56"/>
      <w:bookmarkEnd w:id="69"/>
      <w:bookmarkEnd w:id="70"/>
      <w:bookmarkEnd w:id="71"/>
      <w:bookmarkEnd w:id="72"/>
      <w:bookmarkEnd w:id="73"/>
      <w:r>
        <w:rPr>
          <w:rFonts w:hint="eastAsia"/>
          <w:b w:val="0"/>
          <w:color w:val="auto"/>
          <w:highlight w:val="none"/>
        </w:rPr>
        <w:t>的内容及澄清与修改</w:t>
      </w:r>
      <w:bookmarkEnd w:id="74"/>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75" w:name="_Toc10476"/>
      <w:bookmarkStart w:id="76" w:name="_Toc1093"/>
      <w:bookmarkStart w:id="77" w:name="_Toc19910"/>
      <w:bookmarkStart w:id="78" w:name="_Toc5982"/>
      <w:bookmarkStart w:id="79" w:name="_Toc28585"/>
      <w:r>
        <w:rPr>
          <w:rFonts w:ascii="黑体" w:hAnsi="黑体"/>
          <w:b w:val="0"/>
          <w:color w:val="auto"/>
          <w:highlight w:val="none"/>
        </w:rPr>
        <w:t>9.</w:t>
      </w:r>
      <w:r>
        <w:rPr>
          <w:rFonts w:hint="eastAsia" w:ascii="黑体" w:hAnsi="黑体"/>
          <w:b w:val="0"/>
          <w:color w:val="auto"/>
          <w:highlight w:val="none"/>
        </w:rPr>
        <w:t>招标文件的内容</w:t>
      </w:r>
      <w:bookmarkEnd w:id="75"/>
      <w:bookmarkEnd w:id="76"/>
      <w:bookmarkEnd w:id="77"/>
      <w:bookmarkEnd w:id="78"/>
      <w:bookmarkEnd w:id="7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9.1</w:t>
      </w:r>
      <w:r>
        <w:rPr>
          <w:rFonts w:hint="eastAsia" w:ascii="宋体" w:hAnsi="宋体"/>
          <w:bCs/>
          <w:color w:val="auto"/>
          <w:sz w:val="28"/>
          <w:szCs w:val="28"/>
          <w:highlight w:val="none"/>
          <w:lang w:val="zh-CN"/>
        </w:rPr>
        <w:t>招标文件由特别提示、通用文件和专用文件3部分组成，通用文件载明军队物资类邀请招标项目的一般性说明，专用文件载明本项目特定条件和要求。通用文件与专用文件内容不一致的，以专用文件为准。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80" w:name="_Toc8853"/>
      <w:bookmarkStart w:id="81" w:name="_Toc5111"/>
      <w:bookmarkStart w:id="82" w:name="_Toc24177"/>
      <w:bookmarkStart w:id="83" w:name="_Toc3962"/>
      <w:bookmarkStart w:id="84" w:name="_Toc20436"/>
      <w:r>
        <w:rPr>
          <w:rFonts w:ascii="黑体" w:hAnsi="黑体"/>
          <w:b w:val="0"/>
          <w:color w:val="auto"/>
          <w:highlight w:val="none"/>
        </w:rPr>
        <w:t>10</w:t>
      </w:r>
      <w:r>
        <w:rPr>
          <w:rFonts w:hint="eastAsia" w:ascii="黑体" w:hAnsi="黑体"/>
          <w:b w:val="0"/>
          <w:color w:val="auto"/>
          <w:highlight w:val="none"/>
        </w:rPr>
        <w:t>.招标文件的澄清</w:t>
      </w:r>
      <w:bookmarkEnd w:id="80"/>
      <w:bookmarkEnd w:id="81"/>
      <w:bookmarkEnd w:id="82"/>
      <w:bookmarkEnd w:id="83"/>
      <w:bookmarkEnd w:id="84"/>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10.1供应商对招标文件如有疑问要求澄清，应当在</w:t>
      </w:r>
      <w:r>
        <w:rPr>
          <w:rFonts w:hint="eastAsia" w:asciiTheme="minorEastAsia" w:hAnsiTheme="minorEastAsia" w:eastAsiaTheme="minorEastAsia"/>
          <w:bCs/>
          <w:color w:val="auto"/>
          <w:sz w:val="28"/>
          <w:szCs w:val="28"/>
          <w:highlight w:val="none"/>
        </w:rPr>
        <w:t>【投标供应商须知前附表】明确</w:t>
      </w:r>
      <w:r>
        <w:rPr>
          <w:rFonts w:hint="eastAsia" w:ascii="宋体" w:hAnsi="宋体"/>
          <w:bCs/>
          <w:snapToGrid w:val="0"/>
          <w:color w:val="auto"/>
          <w:sz w:val="28"/>
          <w:szCs w:val="28"/>
          <w:highlight w:val="none"/>
          <w:lang w:val="zh-CN"/>
        </w:rPr>
        <w:t>的</w:t>
      </w:r>
      <w:r>
        <w:rPr>
          <w:rFonts w:ascii="宋体" w:hAnsi="宋体"/>
          <w:bCs/>
          <w:color w:val="auto"/>
          <w:sz w:val="28"/>
          <w:szCs w:val="28"/>
          <w:highlight w:val="none"/>
        </w:rPr>
        <w:t>投标截止时间10日前以书面形式通知采购机构，采购机构视情以适当方式予以澄清。如有必要，在不标明问题来源情况下，采购机构可将答复内容以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已申领招标文件的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w:t>
      </w:r>
      <w:r>
        <w:rPr>
          <w:rFonts w:hint="eastAsia" w:ascii="宋体" w:hAnsi="宋体"/>
          <w:bCs/>
          <w:color w:val="auto"/>
          <w:sz w:val="28"/>
          <w:szCs w:val="28"/>
          <w:highlight w:val="none"/>
        </w:rPr>
        <w:t>投标截止时间前，采购机构可以对已发出的招标文件进行必要的澄清和修改。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10.4</w:t>
      </w:r>
      <w:r>
        <w:rPr>
          <w:rFonts w:hint="eastAsia" w:ascii="宋体" w:hAnsi="宋体"/>
          <w:bCs/>
          <w:color w:val="auto"/>
          <w:sz w:val="28"/>
          <w:szCs w:val="28"/>
          <w:highlight w:val="none"/>
        </w:rPr>
        <w:t>澄清或修改的内容可能影响投标文件编制的，采购机构将在提交投标文件截止时间</w:t>
      </w:r>
      <w:r>
        <w:rPr>
          <w:rFonts w:ascii="宋体" w:hAnsi="宋体"/>
          <w:bCs/>
          <w:color w:val="auto"/>
          <w:sz w:val="28"/>
          <w:szCs w:val="28"/>
          <w:highlight w:val="none"/>
        </w:rPr>
        <w:t>15</w:t>
      </w:r>
      <w:r>
        <w:rPr>
          <w:rFonts w:hint="eastAsia" w:ascii="宋体" w:hAnsi="宋体"/>
          <w:bCs/>
          <w:color w:val="auto"/>
          <w:sz w:val="28"/>
          <w:szCs w:val="28"/>
          <w:highlight w:val="none"/>
        </w:rPr>
        <w:t>日前，发布公告并且书面函告所有已申领招标文件的供应商；不足</w:t>
      </w:r>
      <w:r>
        <w:rPr>
          <w:rFonts w:ascii="宋体" w:hAnsi="宋体"/>
          <w:bCs/>
          <w:color w:val="auto"/>
          <w:sz w:val="28"/>
          <w:szCs w:val="28"/>
          <w:highlight w:val="none"/>
        </w:rPr>
        <w:t>15</w:t>
      </w:r>
      <w:r>
        <w:rPr>
          <w:rFonts w:hint="eastAsia" w:ascii="宋体" w:hAnsi="宋体"/>
          <w:bCs/>
          <w:color w:val="auto"/>
          <w:sz w:val="28"/>
          <w:szCs w:val="28"/>
          <w:highlight w:val="none"/>
        </w:rPr>
        <w:t>日的，将相应顺延提交投标文件的截止时间。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采购标的、关键技术参数、资格条件等内容需修改的，采购机构将重新发布投标邀请书，并书面函告所有已申领招标文件的供应商。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85" w:name="_Toc112317769"/>
      <w:bookmarkStart w:id="86" w:name="_Toc21372"/>
      <w:bookmarkStart w:id="87" w:name="_Toc7979"/>
      <w:bookmarkStart w:id="88" w:name="_Toc10634"/>
      <w:bookmarkStart w:id="89" w:name="_Toc30605"/>
      <w:bookmarkStart w:id="90" w:name="_Toc3211"/>
      <w:bookmarkStart w:id="91" w:name="_Toc132190121"/>
      <w:r>
        <w:rPr>
          <w:rFonts w:hint="eastAsia"/>
          <w:b w:val="0"/>
          <w:color w:val="auto"/>
          <w:highlight w:val="none"/>
        </w:rPr>
        <w:t>三、投标文件</w:t>
      </w:r>
      <w:bookmarkEnd w:id="85"/>
      <w:bookmarkEnd w:id="86"/>
      <w:bookmarkEnd w:id="87"/>
      <w:bookmarkEnd w:id="88"/>
      <w:bookmarkEnd w:id="89"/>
      <w:bookmarkEnd w:id="90"/>
      <w:r>
        <w:rPr>
          <w:rFonts w:hint="eastAsia"/>
          <w:b w:val="0"/>
          <w:color w:val="auto"/>
          <w:highlight w:val="none"/>
        </w:rPr>
        <w:t>的基本要求</w:t>
      </w:r>
      <w:bookmarkEnd w:id="91"/>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2" w:name="_Toc17200"/>
      <w:bookmarkStart w:id="93" w:name="_Toc8007"/>
      <w:bookmarkStart w:id="94" w:name="_Toc10966"/>
      <w:bookmarkStart w:id="95" w:name="_Toc16024"/>
      <w:bookmarkStart w:id="96" w:name="_Toc23644"/>
      <w:r>
        <w:rPr>
          <w:rFonts w:ascii="黑体" w:hAnsi="黑体"/>
          <w:b w:val="0"/>
          <w:color w:val="auto"/>
          <w:highlight w:val="none"/>
        </w:rPr>
        <w:t>11.</w:t>
      </w:r>
      <w:bookmarkEnd w:id="92"/>
      <w:bookmarkEnd w:id="93"/>
      <w:bookmarkEnd w:id="94"/>
      <w:bookmarkEnd w:id="95"/>
      <w:bookmarkEnd w:id="96"/>
      <w:r>
        <w:rPr>
          <w:rFonts w:hint="eastAsia" w:ascii="黑体" w:hAnsi="黑体"/>
          <w:b w:val="0"/>
          <w:color w:val="auto"/>
          <w:highlight w:val="none"/>
        </w:rPr>
        <w:t>编制要求</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11.1</w:t>
      </w:r>
      <w:r>
        <w:rPr>
          <w:rFonts w:hint="eastAsia" w:ascii="宋体" w:hAnsi="宋体"/>
          <w:bCs/>
          <w:color w:val="auto"/>
          <w:sz w:val="28"/>
          <w:szCs w:val="28"/>
          <w:highlight w:val="none"/>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7" w:name="_Toc25199"/>
      <w:bookmarkStart w:id="98" w:name="_Toc9124"/>
      <w:bookmarkStart w:id="99" w:name="_Toc24538"/>
      <w:bookmarkStart w:id="100" w:name="_Toc32710"/>
      <w:bookmarkStart w:id="101" w:name="_Toc5898"/>
      <w:r>
        <w:rPr>
          <w:rFonts w:hint="eastAsia" w:ascii="黑体" w:hAnsi="黑体"/>
          <w:b w:val="0"/>
          <w:color w:val="auto"/>
          <w:highlight w:val="none"/>
        </w:rPr>
        <w:t>1</w:t>
      </w:r>
      <w:r>
        <w:rPr>
          <w:rFonts w:ascii="黑体" w:hAnsi="黑体"/>
          <w:b w:val="0"/>
          <w:color w:val="auto"/>
          <w:highlight w:val="none"/>
        </w:rPr>
        <w:t>2.</w:t>
      </w:r>
      <w:r>
        <w:rPr>
          <w:rFonts w:hint="eastAsia" w:ascii="黑体" w:hAnsi="黑体"/>
          <w:b w:val="0"/>
          <w:color w:val="auto"/>
          <w:highlight w:val="none"/>
        </w:rPr>
        <w:t>投标文件的语言及计量单位</w:t>
      </w:r>
      <w:bookmarkEnd w:id="97"/>
      <w:bookmarkEnd w:id="98"/>
      <w:bookmarkEnd w:id="99"/>
      <w:bookmarkEnd w:id="100"/>
      <w:bookmarkEnd w:id="10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12.1投标文件和</w:t>
      </w:r>
      <w:r>
        <w:rPr>
          <w:rFonts w:hint="eastAsia"/>
          <w:bCs/>
          <w:snapToGrid w:val="0"/>
          <w:color w:val="auto"/>
          <w:sz w:val="28"/>
          <w:szCs w:val="28"/>
          <w:highlight w:val="none"/>
          <w:lang w:val="zh-CN"/>
        </w:rPr>
        <w:t>投标供应商与采购机构就有关投标的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02" w:name="_Hlk130370619"/>
      <w:r>
        <w:rPr>
          <w:rFonts w:hint="eastAsia" w:ascii="黑体" w:hAnsi="黑体" w:eastAsia="黑体"/>
          <w:bCs/>
          <w:color w:val="auto"/>
          <w:sz w:val="28"/>
          <w:szCs w:val="28"/>
          <w:highlight w:val="none"/>
          <w:lang w:val="zh-CN"/>
        </w:rPr>
        <w:t>应当</w:t>
      </w:r>
      <w:bookmarkEnd w:id="102"/>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12.2投标文件中所使用的计量单位，除投标文件中有特殊要求外，均采用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03" w:name="_Toc14932"/>
      <w:bookmarkStart w:id="104" w:name="_Toc15717"/>
      <w:bookmarkStart w:id="105" w:name="_Toc22392"/>
      <w:bookmarkStart w:id="106" w:name="_Toc18518"/>
      <w:bookmarkStart w:id="107" w:name="_Toc24321"/>
      <w:r>
        <w:rPr>
          <w:rFonts w:ascii="黑体" w:hAnsi="黑体"/>
          <w:b w:val="0"/>
          <w:color w:val="auto"/>
          <w:highlight w:val="none"/>
        </w:rPr>
        <w:t>13.</w:t>
      </w:r>
      <w:r>
        <w:rPr>
          <w:rFonts w:hint="eastAsia" w:ascii="黑体" w:hAnsi="黑体"/>
          <w:b w:val="0"/>
          <w:color w:val="auto"/>
          <w:highlight w:val="none"/>
        </w:rPr>
        <w:t>投标文件组成</w:t>
      </w:r>
      <w:bookmarkEnd w:id="103"/>
      <w:bookmarkEnd w:id="104"/>
      <w:bookmarkEnd w:id="105"/>
      <w:bookmarkEnd w:id="106"/>
      <w:bookmarkEnd w:id="10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13.1投标文件</w:t>
      </w:r>
      <w:r>
        <w:rPr>
          <w:rFonts w:hint="eastAsia" w:ascii="宋体" w:hAnsi="宋体"/>
          <w:bCs/>
          <w:color w:val="auto"/>
          <w:sz w:val="28"/>
          <w:szCs w:val="28"/>
          <w:highlight w:val="none"/>
        </w:rPr>
        <w:t>一般</w:t>
      </w:r>
      <w:bookmarkStart w:id="108" w:name="_Hlk112504983"/>
      <w:r>
        <w:rPr>
          <w:rFonts w:hint="eastAsia"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09" w:name="_Hlk112353436"/>
      <w:r>
        <w:rPr>
          <w:rFonts w:hint="eastAsia" w:ascii="黑体" w:hAnsi="黑体" w:eastAsia="黑体"/>
          <w:bCs/>
          <w:color w:val="auto"/>
          <w:sz w:val="28"/>
          <w:szCs w:val="28"/>
          <w:highlight w:val="none"/>
        </w:rPr>
        <w:t>商务技术</w:t>
      </w:r>
      <w:bookmarkEnd w:id="109"/>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08"/>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0" w:name="_Toc21237"/>
      <w:bookmarkStart w:id="111" w:name="_Toc23885"/>
      <w:bookmarkStart w:id="112" w:name="_Toc21008"/>
      <w:bookmarkStart w:id="113" w:name="_Toc24457"/>
      <w:bookmarkStart w:id="114" w:name="_Toc19507"/>
      <w:r>
        <w:rPr>
          <w:rFonts w:ascii="黑体" w:hAnsi="黑体"/>
          <w:b w:val="0"/>
          <w:color w:val="auto"/>
          <w:highlight w:val="none"/>
        </w:rPr>
        <w:t>14.</w:t>
      </w:r>
      <w:r>
        <w:rPr>
          <w:rFonts w:hint="eastAsia" w:ascii="黑体" w:hAnsi="黑体"/>
          <w:b w:val="0"/>
          <w:color w:val="auto"/>
          <w:highlight w:val="none"/>
        </w:rPr>
        <w:t>投标文件的编制</w:t>
      </w:r>
      <w:bookmarkEnd w:id="110"/>
      <w:bookmarkEnd w:id="111"/>
      <w:bookmarkEnd w:id="112"/>
      <w:bookmarkEnd w:id="113"/>
      <w:bookmarkEnd w:id="114"/>
    </w:p>
    <w:p>
      <w:pPr>
        <w:tabs>
          <w:tab w:val="left" w:pos="567"/>
        </w:tabs>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14.1</w:t>
      </w:r>
      <w:r>
        <w:rPr>
          <w:rFonts w:hint="eastAsia" w:asciiTheme="minorEastAsia" w:hAnsiTheme="minorEastAsia" w:eastAsiaTheme="minorEastAsia"/>
          <w:bCs/>
          <w:color w:val="auto"/>
          <w:sz w:val="28"/>
          <w:szCs w:val="28"/>
          <w:highlight w:val="none"/>
        </w:rPr>
        <w:t>投标供应商应当按招标文件第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条的内容与要求和第三章明确的格式编制投标文件。</w:t>
      </w:r>
      <w:bookmarkStart w:id="115" w:name="_Hlk11779055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张的应当装订或胶装成册。</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bookmarkEnd w:id="115"/>
      <w:r>
        <w:rPr>
          <w:rFonts w:ascii="宋体" w:hAnsi="宋体"/>
          <w:bCs/>
          <w:color w:val="auto"/>
          <w:sz w:val="28"/>
          <w:szCs w:val="28"/>
          <w:highlight w:val="none"/>
          <w:lang w:val="zh-CN"/>
        </w:rPr>
        <w:t>开标一览表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w:t>
      </w:r>
      <w:bookmarkStart w:id="116" w:name="_Hlk130370840"/>
      <w:r>
        <w:rPr>
          <w:rFonts w:hint="eastAsia" w:ascii="宋体" w:hAnsi="宋体"/>
          <w:bCs/>
          <w:color w:val="auto"/>
          <w:sz w:val="28"/>
          <w:szCs w:val="28"/>
          <w:highlight w:val="none"/>
          <w:lang w:val="zh-CN"/>
        </w:rPr>
        <w:t>招标文件</w:t>
      </w:r>
      <w:bookmarkEnd w:id="116"/>
      <w:r>
        <w:rPr>
          <w:rFonts w:hint="eastAsia" w:ascii="宋体" w:hAnsi="宋体"/>
          <w:bCs/>
          <w:color w:val="auto"/>
          <w:sz w:val="28"/>
          <w:szCs w:val="28"/>
          <w:highlight w:val="none"/>
          <w:lang w:val="zh-CN"/>
        </w:rPr>
        <w:t>已经明确物资明细的，应当严格按照明确的物资名称填写各行内容，不得自行增减，调整顺序的不影响投标有效性；未明确物资明细的，自行填写各行内容，应当包含所投所有物资。</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3）单元格内容相同的，可以合并。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）不得增加附件。</w:t>
      </w:r>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14.5</w:t>
      </w:r>
      <w:r>
        <w:rPr>
          <w:rFonts w:hint="eastAsia" w:asciiTheme="minorEastAsia" w:hAnsiTheme="minorEastAsia" w:eastAsiaTheme="minorEastAsia"/>
          <w:bCs/>
          <w:color w:val="auto"/>
          <w:sz w:val="28"/>
          <w:szCs w:val="28"/>
          <w:highlight w:val="none"/>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14.6</w:t>
      </w:r>
      <w:r>
        <w:rPr>
          <w:rFonts w:hint="eastAsia" w:ascii="宋体" w:hAnsi="宋体"/>
          <w:bCs/>
          <w:color w:val="auto"/>
          <w:sz w:val="28"/>
          <w:szCs w:val="28"/>
          <w:highlight w:val="none"/>
          <w:lang w:val="zh-CN"/>
        </w:rPr>
        <w:t>投标供应商应当提交</w:t>
      </w:r>
      <w:r>
        <w:rPr>
          <w:rFonts w:hint="eastAsia" w:ascii="宋体" w:hAnsi="宋体"/>
          <w:bCs/>
          <w:color w:val="auto"/>
          <w:sz w:val="28"/>
          <w:szCs w:val="28"/>
          <w:highlight w:val="none"/>
        </w:rPr>
        <w:t>投标文件正本一份，副本、电子版份数见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。投标文件正本和副本的封面右上角上应当清楚标记“正本”或“副本”字样。当副本和正本不一致或电子版文件与纸质正本文件不一致时，以纸质正本文件为准。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14.7</w:t>
      </w:r>
      <w:r>
        <w:rPr>
          <w:rFonts w:hint="eastAsia" w:asciiTheme="minorEastAsia" w:hAnsiTheme="minorEastAsia" w:eastAsiaTheme="minorEastAsia"/>
          <w:bCs/>
          <w:color w:val="auto"/>
          <w:sz w:val="28"/>
          <w:szCs w:val="28"/>
          <w:highlight w:val="none"/>
        </w:rPr>
        <w:t>投标文件</w:t>
      </w:r>
      <w:bookmarkStart w:id="117" w:name="_Hlk126867178"/>
      <w:r>
        <w:rPr>
          <w:rFonts w:hint="eastAsia" w:asciiTheme="minorEastAsia" w:hAnsiTheme="minorEastAsia" w:eastAsiaTheme="minorEastAsia"/>
          <w:bCs/>
          <w:color w:val="auto"/>
          <w:sz w:val="28"/>
          <w:szCs w:val="28"/>
          <w:highlight w:val="none"/>
        </w:rPr>
        <w:t>正本</w:t>
      </w:r>
      <w:bookmarkEnd w:id="117"/>
      <w:r>
        <w:rPr>
          <w:rFonts w:hint="eastAsia" w:asciiTheme="minorEastAsia" w:hAnsiTheme="minorEastAsia" w:eastAsiaTheme="minorEastAsia"/>
          <w:bCs/>
          <w:color w:val="auto"/>
          <w:sz w:val="28"/>
          <w:szCs w:val="28"/>
          <w:highlight w:val="none"/>
        </w:rPr>
        <w:t>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8" w:name="_Toc15766"/>
      <w:bookmarkStart w:id="119" w:name="_Toc7175"/>
      <w:bookmarkStart w:id="120" w:name="_Toc18347"/>
      <w:bookmarkStart w:id="121" w:name="_Toc23265"/>
      <w:bookmarkStart w:id="122" w:name="_Toc15503"/>
      <w:r>
        <w:rPr>
          <w:rFonts w:hint="eastAsia" w:ascii="黑体" w:hAnsi="黑体"/>
          <w:b w:val="0"/>
          <w:color w:val="auto"/>
          <w:highlight w:val="none"/>
        </w:rPr>
        <w:t>1</w:t>
      </w:r>
      <w:r>
        <w:rPr>
          <w:rFonts w:ascii="黑体" w:hAnsi="黑体"/>
          <w:b w:val="0"/>
          <w:color w:val="auto"/>
          <w:highlight w:val="none"/>
        </w:rPr>
        <w:t>5.</w:t>
      </w:r>
      <w:r>
        <w:rPr>
          <w:rFonts w:hint="eastAsia" w:ascii="黑体" w:hAnsi="黑体"/>
          <w:b w:val="0"/>
          <w:color w:val="auto"/>
          <w:highlight w:val="none"/>
        </w:rPr>
        <w:t>投标有效期</w:t>
      </w:r>
      <w:bookmarkEnd w:id="118"/>
      <w:bookmarkEnd w:id="119"/>
      <w:bookmarkEnd w:id="120"/>
      <w:bookmarkEnd w:id="121"/>
      <w:bookmarkEnd w:id="122"/>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15.1投标</w:t>
      </w:r>
      <w:r>
        <w:rPr>
          <w:rFonts w:hint="eastAsia" w:ascii="宋体" w:hAnsi="宋体"/>
          <w:bCs/>
          <w:color w:val="auto"/>
          <w:sz w:val="28"/>
          <w:szCs w:val="28"/>
          <w:highlight w:val="none"/>
          <w:lang w:val="zh-CN"/>
        </w:rPr>
        <w:t>有效期从提交投标文件的截止之日起算。投标文件中承诺的投标有效期应当不少于【投标供应商须知前附表】中载明的投标有效期，否则视为无效投标。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修改投标文件。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23" w:name="_Toc11462"/>
      <w:bookmarkStart w:id="124" w:name="_Toc29044"/>
      <w:bookmarkStart w:id="125" w:name="_Toc3489"/>
      <w:bookmarkStart w:id="126" w:name="_Toc16961"/>
      <w:bookmarkStart w:id="127" w:name="_Toc2225"/>
      <w:r>
        <w:rPr>
          <w:rFonts w:hint="eastAsia" w:ascii="黑体" w:hAnsi="黑体"/>
          <w:b w:val="0"/>
          <w:color w:val="auto"/>
          <w:highlight w:val="none"/>
        </w:rPr>
        <w:t>1</w:t>
      </w:r>
      <w:r>
        <w:rPr>
          <w:rFonts w:ascii="黑体" w:hAnsi="黑体"/>
          <w:b w:val="0"/>
          <w:color w:val="auto"/>
          <w:highlight w:val="none"/>
        </w:rPr>
        <w:t>6.</w:t>
      </w:r>
      <w:r>
        <w:rPr>
          <w:rFonts w:hint="eastAsia" w:ascii="黑体" w:hAnsi="黑体"/>
          <w:b w:val="0"/>
          <w:color w:val="auto"/>
          <w:highlight w:val="none"/>
        </w:rPr>
        <w:t>投标报价</w:t>
      </w:r>
      <w:bookmarkEnd w:id="123"/>
      <w:bookmarkEnd w:id="124"/>
      <w:bookmarkEnd w:id="125"/>
      <w:bookmarkEnd w:id="126"/>
      <w:bookmarkEnd w:id="12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16.2所有单价和总价按照开标一览表格式要求填报。</w:t>
      </w:r>
      <w:r>
        <w:rPr>
          <w:rFonts w:ascii="宋体" w:hAnsi="宋体"/>
          <w:bCs/>
          <w:snapToGrid w:val="0"/>
          <w:color w:val="auto"/>
          <w:sz w:val="28"/>
          <w:szCs w:val="28"/>
          <w:highlight w:val="none"/>
          <w:lang w:val="zh-CN"/>
        </w:rPr>
        <w:t>报价应当包括货款、标准附件、备品备件、专用工具、包装、安装、调试、培训、保修等费用和税金。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16.3投标供应商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，视为无效投标。</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投标报价的其他要求见【投标供应商须知前附表】。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28" w:name="_Toc28896"/>
      <w:bookmarkStart w:id="129" w:name="_Toc19847"/>
      <w:bookmarkStart w:id="130" w:name="_Toc31670"/>
      <w:bookmarkStart w:id="131" w:name="_Toc9609"/>
      <w:bookmarkStart w:id="132" w:name="_Toc5641"/>
      <w:r>
        <w:rPr>
          <w:rFonts w:ascii="黑体" w:hAnsi="黑体"/>
          <w:b w:val="0"/>
          <w:color w:val="auto"/>
          <w:highlight w:val="none"/>
        </w:rPr>
        <w:t>17.</w:t>
      </w:r>
      <w:r>
        <w:rPr>
          <w:rFonts w:hint="eastAsia" w:ascii="黑体" w:hAnsi="黑体"/>
          <w:b w:val="0"/>
          <w:color w:val="auto"/>
          <w:highlight w:val="none"/>
        </w:rPr>
        <w:t>投标保证金</w:t>
      </w:r>
      <w:bookmarkEnd w:id="128"/>
      <w:bookmarkEnd w:id="129"/>
      <w:bookmarkEnd w:id="130"/>
      <w:bookmarkEnd w:id="131"/>
      <w:bookmarkEnd w:id="132"/>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17.1投标</w:t>
      </w:r>
      <w:r>
        <w:rPr>
          <w:rFonts w:hint="eastAsia" w:ascii="宋体" w:hAnsi="宋体"/>
          <w:bCs/>
          <w:color w:val="auto"/>
          <w:sz w:val="28"/>
          <w:szCs w:val="28"/>
          <w:highlight w:val="none"/>
          <w:lang w:val="zh-CN"/>
        </w:rPr>
        <w:t>保证金要求见【投标供应商须知前附表】。</w:t>
      </w:r>
    </w:p>
    <w:p>
      <w:pPr>
        <w:adjustRightInd w:val="0"/>
        <w:snapToGrid w:val="0"/>
        <w:spacing w:line="560" w:lineRule="exact"/>
        <w:ind w:firstLine="560" w:firstLineChars="200"/>
        <w:rPr>
          <w:rFonts w:hint="eastAsia" w:ascii="宋体" w:hAnsi="宋体"/>
          <w:bCs/>
          <w:snapToGrid w:val="0"/>
          <w:sz w:val="28"/>
          <w:szCs w:val="28"/>
          <w:highlight w:val="none"/>
          <w:lang w:val="zh-CN"/>
        </w:rPr>
      </w:pPr>
      <w:r>
        <w:rPr>
          <w:rFonts w:ascii="宋体" w:hAnsi="宋体"/>
          <w:bCs/>
          <w:color w:val="auto"/>
          <w:sz w:val="28"/>
          <w:szCs w:val="28"/>
          <w:highlight w:val="none"/>
        </w:rPr>
        <w:t>17.2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中标供应商的投标保证金，在签订正式合同后5个工作日内全额无息退还。未中标供应商的投标保证金，将在采购机构发出未中标通知书后5个工作日内全额无息退还。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17.4有下列情况之一的，投标保证金将不予退还：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1）开标后投标供应商在投标有效期内撤回其投标文件的；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2）投标供应商干扰开标</w:t>
      </w:r>
      <w:r>
        <w:rPr>
          <w:rFonts w:hint="eastAsia" w:ascii="宋体" w:hAnsi="宋体"/>
          <w:bCs/>
          <w:color w:val="auto"/>
          <w:sz w:val="28"/>
          <w:szCs w:val="28"/>
          <w:highlight w:val="none"/>
        </w:rPr>
        <w:t>或</w:t>
      </w:r>
      <w:r>
        <w:rPr>
          <w:rFonts w:ascii="宋体" w:hAnsi="宋体"/>
          <w:bCs/>
          <w:color w:val="auto"/>
          <w:sz w:val="28"/>
          <w:szCs w:val="28"/>
          <w:highlight w:val="none"/>
        </w:rPr>
        <w:t>评标活动，造成严重影响和后果的；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3）虚假投标</w:t>
      </w:r>
      <w:r>
        <w:rPr>
          <w:rFonts w:hint="eastAsia" w:ascii="宋体" w:hAnsi="宋体"/>
          <w:bCs/>
          <w:color w:val="auto"/>
          <w:sz w:val="28"/>
          <w:szCs w:val="28"/>
          <w:highlight w:val="none"/>
        </w:rPr>
        <w:t>或</w:t>
      </w:r>
      <w:r>
        <w:rPr>
          <w:rFonts w:ascii="宋体" w:hAnsi="宋体"/>
          <w:bCs/>
          <w:color w:val="auto"/>
          <w:sz w:val="28"/>
          <w:szCs w:val="28"/>
          <w:highlight w:val="none"/>
        </w:rPr>
        <w:t>串通投标的；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4）中标</w:t>
      </w:r>
      <w:r>
        <w:rPr>
          <w:rFonts w:hint="eastAsia" w:ascii="宋体" w:hAnsi="宋体"/>
          <w:bCs/>
          <w:color w:val="auto"/>
          <w:sz w:val="28"/>
          <w:szCs w:val="28"/>
          <w:highlight w:val="none"/>
        </w:rPr>
        <w:t>（预中标）</w:t>
      </w:r>
      <w:r>
        <w:rPr>
          <w:rFonts w:ascii="宋体" w:hAnsi="宋体"/>
          <w:bCs/>
          <w:color w:val="auto"/>
          <w:sz w:val="28"/>
          <w:szCs w:val="28"/>
          <w:highlight w:val="none"/>
        </w:rPr>
        <w:t>供应商无正当理由放弃中标的；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33"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34" w:name="_Toc9861"/>
      <w:bookmarkStart w:id="135" w:name="_Toc28041"/>
      <w:bookmarkStart w:id="136" w:name="_Toc23111"/>
      <w:bookmarkStart w:id="137" w:name="_Toc22637"/>
      <w:bookmarkStart w:id="138" w:name="_Toc29835"/>
      <w:bookmarkStart w:id="139" w:name="_Toc132190122"/>
      <w:r>
        <w:rPr>
          <w:rFonts w:hint="eastAsia"/>
          <w:b w:val="0"/>
          <w:color w:val="auto"/>
          <w:highlight w:val="none"/>
        </w:rPr>
        <w:t>四、投标文件提交</w:t>
      </w:r>
      <w:bookmarkEnd w:id="133"/>
      <w:bookmarkEnd w:id="134"/>
      <w:bookmarkEnd w:id="135"/>
      <w:bookmarkEnd w:id="136"/>
      <w:bookmarkEnd w:id="137"/>
      <w:bookmarkEnd w:id="138"/>
      <w:bookmarkEnd w:id="139"/>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40" w:name="_Toc30431"/>
      <w:bookmarkStart w:id="141" w:name="_Toc23336"/>
      <w:bookmarkStart w:id="142" w:name="_Toc9741"/>
      <w:bookmarkStart w:id="143" w:name="_Toc5530"/>
      <w:bookmarkStart w:id="144" w:name="_Toc11049"/>
      <w:r>
        <w:rPr>
          <w:rFonts w:ascii="黑体" w:hAnsi="黑体"/>
          <w:b w:val="0"/>
          <w:color w:val="auto"/>
          <w:highlight w:val="none"/>
        </w:rPr>
        <w:t>18.</w:t>
      </w:r>
      <w:r>
        <w:rPr>
          <w:rFonts w:hint="eastAsia" w:ascii="黑体" w:hAnsi="黑体"/>
          <w:b w:val="0"/>
          <w:color w:val="auto"/>
          <w:highlight w:val="none"/>
        </w:rPr>
        <w:t>投标文件密封及标记</w:t>
      </w:r>
      <w:bookmarkEnd w:id="140"/>
      <w:bookmarkEnd w:id="141"/>
      <w:bookmarkEnd w:id="142"/>
      <w:bookmarkEnd w:id="143"/>
      <w:bookmarkEnd w:id="14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投标文件中“价格文件”应当与“商务技术文件”和“资格证明文件”分开，单独密封包装，并在封套的封口处加盖投标供应商公章。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投标文件封套上应当写明</w:t>
      </w:r>
      <w:r>
        <w:rPr>
          <w:rFonts w:ascii="宋体" w:hAnsi="宋体"/>
          <w:bCs/>
          <w:color w:val="auto"/>
          <w:sz w:val="28"/>
          <w:szCs w:val="28"/>
          <w:highlight w:val="none"/>
        </w:rPr>
        <w:t>项目名称、项目编号、所投包号、投标供应商名称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和“开标时启封”字样。</w:t>
      </w:r>
    </w:p>
    <w:p>
      <w:pPr>
        <w:pStyle w:val="17"/>
        <w:spacing w:after="0"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color w:val="auto"/>
          <w:sz w:val="28"/>
          <w:szCs w:val="28"/>
          <w:highlight w:val="none"/>
        </w:rPr>
        <w:t>18.1</w:t>
      </w:r>
      <w:r>
        <w:rPr>
          <w:rFonts w:hint="eastAsia" w:ascii="宋体" w:hAnsi="宋体"/>
          <w:bCs/>
          <w:color w:val="auto"/>
          <w:sz w:val="28"/>
          <w:szCs w:val="28"/>
          <w:highlight w:val="none"/>
        </w:rPr>
        <w:t>条和第</w:t>
      </w:r>
      <w:r>
        <w:rPr>
          <w:rFonts w:ascii="宋体" w:hAnsi="宋体"/>
          <w:bCs/>
          <w:color w:val="auto"/>
          <w:sz w:val="28"/>
          <w:szCs w:val="28"/>
          <w:highlight w:val="none"/>
        </w:rPr>
        <w:t>18.2</w:t>
      </w:r>
      <w:r>
        <w:rPr>
          <w:rFonts w:hint="eastAsia" w:ascii="宋体" w:hAnsi="宋体"/>
          <w:bCs/>
          <w:color w:val="auto"/>
          <w:sz w:val="28"/>
          <w:szCs w:val="28"/>
          <w:highlight w:val="none"/>
        </w:rPr>
        <w:t>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18.4投标供应商应当在</w:t>
      </w:r>
      <w:r>
        <w:rPr>
          <w:rFonts w:hint="eastAsia" w:ascii="宋体" w:hAnsi="宋体"/>
          <w:bCs/>
          <w:color w:val="auto"/>
          <w:sz w:val="28"/>
          <w:szCs w:val="28"/>
          <w:highlight w:val="none"/>
          <w:lang w:val="zh-CN"/>
        </w:rPr>
        <w:t>【投标供应商须知前附表】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交投标文件截止时间前，将投标文件送达采购机构指定地点。</w:t>
      </w:r>
      <w:bookmarkStart w:id="145"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的投标文件</w:t>
      </w:r>
      <w:r>
        <w:rPr>
          <w:rFonts w:ascii="宋体" w:hAnsi="宋体"/>
          <w:bCs/>
          <w:color w:val="auto"/>
          <w:sz w:val="28"/>
          <w:szCs w:val="28"/>
          <w:highlight w:val="none"/>
        </w:rPr>
        <w:t>，采购机构将拒收</w:t>
      </w:r>
      <w:bookmarkEnd w:id="145"/>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18.5电报、电话、电传、邮寄等形式的投标文件概不</w:t>
      </w:r>
      <w:r>
        <w:rPr>
          <w:rFonts w:hint="eastAsia" w:ascii="宋体" w:hAnsi="宋体"/>
          <w:bCs/>
          <w:color w:val="auto"/>
          <w:sz w:val="28"/>
          <w:szCs w:val="28"/>
          <w:highlight w:val="none"/>
        </w:rPr>
        <w:t>接收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18.6投标文件未按要求密封、标记的，采购机构将拒收。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46" w:name="_Toc30110"/>
      <w:bookmarkStart w:id="147" w:name="_Toc20261"/>
      <w:bookmarkStart w:id="148" w:name="_Toc27185"/>
      <w:bookmarkStart w:id="149" w:name="_Toc12761"/>
      <w:bookmarkStart w:id="150" w:name="_Toc8208"/>
      <w:r>
        <w:rPr>
          <w:rFonts w:ascii="黑体" w:hAnsi="黑体"/>
          <w:b w:val="0"/>
          <w:color w:val="auto"/>
          <w:highlight w:val="none"/>
        </w:rPr>
        <w:t>19.</w:t>
      </w:r>
      <w:r>
        <w:rPr>
          <w:rFonts w:hint="eastAsia" w:ascii="黑体" w:hAnsi="黑体"/>
          <w:b w:val="0"/>
          <w:color w:val="auto"/>
          <w:highlight w:val="none"/>
        </w:rPr>
        <w:t>投标文件的修改和撤回</w:t>
      </w:r>
      <w:bookmarkEnd w:id="146"/>
      <w:bookmarkEnd w:id="147"/>
      <w:bookmarkEnd w:id="148"/>
      <w:bookmarkEnd w:id="149"/>
      <w:bookmarkEnd w:id="15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19.1投标供应商在投标截止时间前，可以对提交的投标文件进行补充、修改或撤回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盖章，作为投标文件的组成部分。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投标截止时间后，</w:t>
      </w:r>
      <w:r>
        <w:rPr>
          <w:rFonts w:ascii="宋体" w:hAnsi="宋体"/>
          <w:bCs/>
          <w:color w:val="auto"/>
          <w:sz w:val="28"/>
          <w:szCs w:val="28"/>
          <w:highlight w:val="none"/>
          <w:lang w:val="zh-CN"/>
        </w:rPr>
        <w:t>采购机构不接受对投标文件内容的实质性修改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19.3投标供应商修改投标文件的书面材料，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密封送达投标地点，并在封面上标明项目名称、项目编号、投标供应商名称和</w:t>
      </w:r>
      <w:r>
        <w:rPr>
          <w:rFonts w:hint="eastAsia" w:ascii="宋体" w:hAnsi="宋体"/>
          <w:bCs/>
          <w:color w:val="auto"/>
          <w:sz w:val="28"/>
          <w:szCs w:val="28"/>
          <w:highlight w:val="none"/>
        </w:rPr>
        <w:t>“</w:t>
      </w:r>
      <w:r>
        <w:rPr>
          <w:rFonts w:ascii="宋体" w:hAnsi="宋体"/>
          <w:bCs/>
          <w:color w:val="auto"/>
          <w:sz w:val="28"/>
          <w:szCs w:val="28"/>
          <w:highlight w:val="none"/>
        </w:rPr>
        <w:t>投标修改文件</w:t>
      </w:r>
      <w:r>
        <w:rPr>
          <w:rFonts w:hint="eastAsia" w:ascii="宋体" w:hAnsi="宋体"/>
          <w:bCs/>
          <w:color w:val="auto"/>
          <w:sz w:val="28"/>
          <w:szCs w:val="28"/>
          <w:highlight w:val="none"/>
        </w:rPr>
        <w:t>”</w:t>
      </w:r>
      <w:r>
        <w:rPr>
          <w:rFonts w:ascii="宋体" w:hAnsi="宋体"/>
          <w:bCs/>
          <w:color w:val="auto"/>
          <w:sz w:val="28"/>
          <w:szCs w:val="28"/>
          <w:highlight w:val="none"/>
        </w:rPr>
        <w:t>“开标时启封”字样。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19.4投标供应商撤回投标应当以书面形式通知采购机构。采取电报或传真形式撤回投标的，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的撤回投标的正式文件。撤回投标的时间以投标供应商的书面撤回通知送达采购机构时间为准。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19.5开标后，投标供应商不得撤回投标，否则投标保证金不予退还。</w:t>
      </w:r>
      <w:bookmarkStart w:id="151"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52" w:name="_Toc15835"/>
      <w:bookmarkStart w:id="153" w:name="_Toc18211"/>
      <w:bookmarkStart w:id="154" w:name="_Toc132190123"/>
      <w:bookmarkStart w:id="155" w:name="_Toc26782"/>
      <w:bookmarkStart w:id="156" w:name="_Toc14016"/>
      <w:bookmarkStart w:id="157" w:name="_Toc19755"/>
      <w:r>
        <w:rPr>
          <w:rFonts w:hint="eastAsia"/>
          <w:b w:val="0"/>
          <w:color w:val="auto"/>
          <w:highlight w:val="none"/>
        </w:rPr>
        <w:t>五、开标与评标</w:t>
      </w:r>
      <w:bookmarkEnd w:id="151"/>
      <w:bookmarkEnd w:id="152"/>
      <w:bookmarkEnd w:id="153"/>
      <w:bookmarkEnd w:id="154"/>
      <w:bookmarkEnd w:id="155"/>
      <w:bookmarkEnd w:id="156"/>
      <w:bookmarkEnd w:id="157"/>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58" w:name="_Toc18885"/>
      <w:bookmarkStart w:id="159" w:name="_Toc28475"/>
      <w:bookmarkStart w:id="160" w:name="_Toc6783"/>
      <w:bookmarkStart w:id="161" w:name="_Toc32056"/>
      <w:bookmarkStart w:id="162" w:name="_Toc20058"/>
      <w:r>
        <w:rPr>
          <w:rFonts w:ascii="黑体" w:hAnsi="黑体"/>
          <w:b w:val="0"/>
          <w:color w:val="auto"/>
          <w:highlight w:val="none"/>
        </w:rPr>
        <w:t>20.</w:t>
      </w:r>
      <w:r>
        <w:rPr>
          <w:rFonts w:hint="eastAsia" w:ascii="黑体" w:hAnsi="黑体"/>
          <w:b w:val="0"/>
          <w:color w:val="auto"/>
          <w:highlight w:val="none"/>
        </w:rPr>
        <w:t>开标</w:t>
      </w:r>
      <w:bookmarkEnd w:id="158"/>
      <w:bookmarkEnd w:id="159"/>
      <w:bookmarkEnd w:id="160"/>
      <w:bookmarkEnd w:id="161"/>
      <w:bookmarkEnd w:id="162"/>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20.1</w:t>
      </w:r>
      <w:r>
        <w:rPr>
          <w:rFonts w:hint="eastAsia" w:ascii="宋体" w:hAnsi="宋体"/>
          <w:bCs/>
          <w:color w:val="auto"/>
          <w:sz w:val="28"/>
          <w:szCs w:val="28"/>
          <w:highlight w:val="none"/>
        </w:rPr>
        <w:t>成功提交投标文件的</w:t>
      </w:r>
      <w:bookmarkStart w:id="163" w:name="_Hlk126868003"/>
      <w:r>
        <w:rPr>
          <w:rFonts w:hint="eastAsia" w:ascii="宋体" w:hAnsi="宋体"/>
          <w:bCs/>
          <w:color w:val="auto"/>
          <w:sz w:val="28"/>
          <w:szCs w:val="28"/>
          <w:highlight w:val="none"/>
        </w:rPr>
        <w:t>投标供应商不足3家的，一般不得组织开标</w:t>
      </w:r>
      <w:bookmarkEnd w:id="163"/>
      <w:r>
        <w:rPr>
          <w:rFonts w:hint="eastAsia" w:ascii="宋体" w:hAnsi="宋体"/>
          <w:bCs/>
          <w:color w:val="auto"/>
          <w:sz w:val="28"/>
          <w:szCs w:val="28"/>
          <w:highlight w:val="none"/>
        </w:rPr>
        <w:t>，满足第20.4条情形的除外。</w:t>
      </w:r>
      <w:r>
        <w:rPr>
          <w:rFonts w:ascii="宋体" w:hAnsi="宋体"/>
          <w:bCs/>
          <w:color w:val="auto"/>
          <w:sz w:val="28"/>
          <w:szCs w:val="28"/>
          <w:highlight w:val="none"/>
        </w:rPr>
        <w:t>采购机构按</w:t>
      </w:r>
      <w:r>
        <w:rPr>
          <w:rFonts w:hint="eastAsia" w:ascii="宋体" w:hAnsi="宋体"/>
          <w:bCs/>
          <w:color w:val="auto"/>
          <w:sz w:val="28"/>
          <w:szCs w:val="28"/>
          <w:highlight w:val="none"/>
          <w:lang w:val="zh-CN"/>
        </w:rPr>
        <w:t>【投标供应商须知前附表】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的时间、地点</w:t>
      </w:r>
      <w:r>
        <w:rPr>
          <w:rFonts w:hint="eastAsia" w:ascii="宋体" w:hAnsi="宋体"/>
          <w:bCs/>
          <w:color w:val="auto"/>
          <w:sz w:val="28"/>
          <w:szCs w:val="28"/>
          <w:highlight w:val="none"/>
        </w:rPr>
        <w:t>组织</w:t>
      </w:r>
      <w:r>
        <w:rPr>
          <w:rFonts w:ascii="宋体" w:hAnsi="宋体"/>
          <w:bCs/>
          <w:color w:val="auto"/>
          <w:sz w:val="28"/>
          <w:szCs w:val="28"/>
          <w:highlight w:val="none"/>
        </w:rPr>
        <w:t>开标</w:t>
      </w:r>
      <w:r>
        <w:rPr>
          <w:rFonts w:hint="eastAsia" w:ascii="宋体" w:hAnsi="宋体"/>
          <w:bCs/>
          <w:color w:val="auto"/>
          <w:sz w:val="28"/>
          <w:szCs w:val="28"/>
          <w:highlight w:val="none"/>
        </w:rPr>
        <w:t>，</w:t>
      </w:r>
      <w:r>
        <w:rPr>
          <w:rFonts w:ascii="宋体" w:hAnsi="宋体"/>
          <w:bCs/>
          <w:color w:val="auto"/>
          <w:sz w:val="28"/>
          <w:szCs w:val="28"/>
          <w:highlight w:val="none"/>
        </w:rPr>
        <w:t>投标供应商和有关方面代表参加。</w:t>
      </w:r>
      <w:r>
        <w:rPr>
          <w:rFonts w:hint="eastAsia" w:ascii="宋体" w:hAnsi="宋体"/>
          <w:bCs/>
          <w:color w:val="auto"/>
          <w:sz w:val="28"/>
          <w:szCs w:val="28"/>
          <w:highlight w:val="none"/>
        </w:rPr>
        <w:t>评审委员会</w:t>
      </w:r>
      <w:r>
        <w:rPr>
          <w:rFonts w:ascii="宋体" w:hAnsi="宋体"/>
          <w:bCs/>
          <w:color w:val="auto"/>
          <w:sz w:val="28"/>
          <w:szCs w:val="28"/>
          <w:highlight w:val="none"/>
        </w:rPr>
        <w:t>成员不得参加开标大会。</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20.2</w:t>
      </w:r>
      <w:r>
        <w:rPr>
          <w:rFonts w:hint="eastAsia" w:ascii="宋体" w:hAnsi="宋体"/>
          <w:bCs/>
          <w:color w:val="auto"/>
          <w:sz w:val="28"/>
          <w:szCs w:val="28"/>
          <w:highlight w:val="none"/>
        </w:rPr>
        <w:t>开标时，由投标供应商或其推选的代表检查所有投标文件的密封情况并当场公布检查结果。经确认无误后，当众</w:t>
      </w:r>
      <w:bookmarkStart w:id="164" w:name="_Hlk112507062"/>
      <w:r>
        <w:rPr>
          <w:rFonts w:hint="eastAsia" w:ascii="宋体" w:hAnsi="宋体"/>
          <w:bCs/>
          <w:color w:val="auto"/>
          <w:sz w:val="28"/>
          <w:szCs w:val="28"/>
          <w:highlight w:val="none"/>
        </w:rPr>
        <w:t>拆封</w:t>
      </w:r>
      <w:bookmarkEnd w:id="164"/>
      <w:r>
        <w:rPr>
          <w:rFonts w:hint="eastAsia" w:ascii="宋体" w:hAnsi="宋体"/>
          <w:bCs/>
          <w:color w:val="auto"/>
          <w:sz w:val="28"/>
          <w:szCs w:val="28"/>
          <w:highlight w:val="none"/>
        </w:rPr>
        <w:t>投标文件，宣读价格文件中“开标一览表”的全部内容，开标未宣读的投标报价信息无效。</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文件中规定的合格分或规定名次的投标供应商，并对其“开标一览表（含价格）”进行开标，公布投标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20.3投标供应商对开标过程有异议的，应当在开标</w:t>
      </w:r>
      <w:r>
        <w:rPr>
          <w:rFonts w:hint="eastAsia" w:ascii="宋体" w:hAnsi="宋体"/>
          <w:bCs/>
          <w:color w:val="auto"/>
          <w:sz w:val="28"/>
          <w:szCs w:val="28"/>
          <w:highlight w:val="none"/>
        </w:rPr>
        <w:t>现场提出，采购机构当场答复。采购机构同时作开标记录，并打印《开标记录表》发放给所有投标供应商代表进行核对，核对无误后所有投标供应商代表签字确认。《开标记录表》未经</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的，该投标供应商投标视为无效投标，因特殊原因未允许进入开标现场的除外。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20.4</w:t>
      </w:r>
      <w:r>
        <w:rPr>
          <w:rFonts w:hint="eastAsia" w:ascii="宋体" w:hAnsi="宋体"/>
          <w:bCs/>
          <w:color w:val="auto"/>
          <w:sz w:val="28"/>
          <w:szCs w:val="28"/>
          <w:highlight w:val="none"/>
        </w:rPr>
        <w:t>投标供应商或通过资格性、符合性审查的投标供应商只有</w:t>
      </w:r>
      <w:r>
        <w:rPr>
          <w:rFonts w:ascii="宋体" w:hAnsi="宋体"/>
          <w:bCs/>
          <w:color w:val="auto"/>
          <w:sz w:val="28"/>
          <w:szCs w:val="28"/>
          <w:highlight w:val="none"/>
        </w:rPr>
        <w:t>2家且预算金额在500万元以下项目，或重新组织</w:t>
      </w:r>
      <w:r>
        <w:rPr>
          <w:rFonts w:hint="eastAsia" w:ascii="宋体" w:hAnsi="宋体"/>
          <w:bCs/>
          <w:color w:val="auto"/>
          <w:sz w:val="28"/>
          <w:szCs w:val="28"/>
          <w:highlight w:val="none"/>
        </w:rPr>
        <w:t>采购仍只有</w:t>
      </w:r>
      <w:r>
        <w:rPr>
          <w:rFonts w:ascii="宋体" w:hAnsi="宋体"/>
          <w:bCs/>
          <w:color w:val="auto"/>
          <w:sz w:val="28"/>
          <w:szCs w:val="28"/>
          <w:highlight w:val="none"/>
        </w:rPr>
        <w:t>2家投标供应商响应的项目，采购机构应当组织评审委员会</w:t>
      </w:r>
      <w:r>
        <w:rPr>
          <w:rFonts w:hint="eastAsia" w:ascii="宋体" w:hAnsi="宋体"/>
          <w:bCs/>
          <w:color w:val="auto"/>
          <w:sz w:val="28"/>
          <w:szCs w:val="28"/>
          <w:highlight w:val="none"/>
        </w:rPr>
        <w:t>成员</w:t>
      </w:r>
      <w:r>
        <w:rPr>
          <w:rFonts w:ascii="宋体" w:hAnsi="宋体"/>
          <w:bCs/>
          <w:color w:val="auto"/>
          <w:sz w:val="28"/>
          <w:szCs w:val="28"/>
          <w:highlight w:val="none"/>
        </w:rPr>
        <w:t>对招标文件进行论证，并根据论证情况按照以下方式处理：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w:t>
      </w:r>
      <w:bookmarkStart w:id="165" w:name="_Hlk117260042"/>
      <w:r>
        <w:rPr>
          <w:rFonts w:hint="eastAsia" w:ascii="宋体" w:hAnsi="宋体"/>
          <w:bCs/>
          <w:color w:val="auto"/>
          <w:sz w:val="28"/>
          <w:szCs w:val="28"/>
          <w:highlight w:val="none"/>
        </w:rPr>
        <w:t>无倾向性或排他性条款，供应商选择程序合规的，采购机构可以重新招标，</w:t>
      </w:r>
      <w:bookmarkEnd w:id="165"/>
      <w:bookmarkStart w:id="166" w:name="_Hlk117260077"/>
      <w:r>
        <w:rPr>
          <w:rFonts w:hint="eastAsia" w:ascii="宋体" w:hAnsi="宋体"/>
          <w:bCs/>
          <w:color w:val="auto"/>
          <w:sz w:val="28"/>
          <w:szCs w:val="28"/>
          <w:highlight w:val="none"/>
        </w:rPr>
        <w:t>也可以由采购机构报上级采购管理部门批准，并经采购单位同意后，</w:t>
      </w:r>
      <w:bookmarkEnd w:id="166"/>
      <w:r>
        <w:rPr>
          <w:rFonts w:hint="eastAsia" w:ascii="宋体" w:hAnsi="宋体"/>
          <w:bCs/>
          <w:color w:val="auto"/>
          <w:sz w:val="28"/>
          <w:szCs w:val="28"/>
          <w:highlight w:val="none"/>
        </w:rPr>
        <w:t>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招标文件存在不合理条款或招标程序不符合规定的，采购机构改正后依法重新招标</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67" w:name="_Toc29880"/>
      <w:bookmarkStart w:id="168" w:name="_Toc26244"/>
      <w:bookmarkStart w:id="169" w:name="_Toc20233"/>
      <w:bookmarkStart w:id="170" w:name="_Toc12233"/>
      <w:bookmarkStart w:id="171" w:name="_Toc32061"/>
      <w:r>
        <w:rPr>
          <w:rFonts w:ascii="黑体" w:hAnsi="黑体"/>
          <w:b w:val="0"/>
          <w:color w:val="auto"/>
          <w:highlight w:val="none"/>
        </w:rPr>
        <w:t>21.</w:t>
      </w:r>
      <w:r>
        <w:rPr>
          <w:rFonts w:hint="eastAsia" w:ascii="黑体" w:hAnsi="黑体"/>
          <w:b w:val="0"/>
          <w:color w:val="auto"/>
          <w:highlight w:val="none"/>
        </w:rPr>
        <w:t>评审原则与方法</w:t>
      </w:r>
      <w:bookmarkEnd w:id="167"/>
      <w:bookmarkEnd w:id="168"/>
      <w:bookmarkEnd w:id="169"/>
      <w:bookmarkEnd w:id="170"/>
      <w:bookmarkEnd w:id="17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）严格依据招标文件规定的评审方法、程序和标准评审。不得以投票表决等形式修改招标文件规定的评审方法、程序和标准；招标文件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对所有投标</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w:t>
      </w:r>
      <w:r>
        <w:rPr>
          <w:rFonts w:ascii="宋体" w:hAnsi="宋体"/>
          <w:bCs/>
          <w:color w:val="auto"/>
          <w:sz w:val="28"/>
          <w:szCs w:val="28"/>
          <w:highlight w:val="none"/>
        </w:rPr>
        <w:t>招标文件和投标文件</w:t>
      </w:r>
      <w:r>
        <w:rPr>
          <w:rFonts w:hint="eastAsia" w:ascii="宋体" w:hAnsi="宋体"/>
          <w:bCs/>
          <w:color w:val="auto"/>
          <w:sz w:val="28"/>
          <w:szCs w:val="28"/>
          <w:highlight w:val="none"/>
        </w:rPr>
        <w:t>的</w:t>
      </w:r>
      <w:r>
        <w:rPr>
          <w:rFonts w:ascii="宋体" w:hAnsi="宋体"/>
          <w:bCs/>
          <w:color w:val="auto"/>
          <w:sz w:val="28"/>
          <w:szCs w:val="28"/>
          <w:highlight w:val="none"/>
        </w:rPr>
        <w:t>解释澄清，在不改变文件原义的前提下，应当以有利于投标供应商为原则。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21.2评审方法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综合评分法，是指投标文件满足招标文件资格性和符合性要求，将按照评审标准综合评审得分最高的投标供应商，作为预中标供应商的评审方法。采用百分制评分。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2" w:name="_Toc17220"/>
      <w:bookmarkStart w:id="173" w:name="_Toc9920"/>
      <w:bookmarkStart w:id="174" w:name="_Toc13681"/>
      <w:bookmarkStart w:id="175" w:name="_Toc27886"/>
      <w:bookmarkStart w:id="176" w:name="_Toc24940"/>
      <w:r>
        <w:rPr>
          <w:rFonts w:ascii="黑体" w:hAnsi="黑体"/>
          <w:b w:val="0"/>
          <w:color w:val="auto"/>
          <w:highlight w:val="none"/>
        </w:rPr>
        <w:t>22.</w:t>
      </w:r>
      <w:r>
        <w:rPr>
          <w:rFonts w:hint="eastAsia" w:ascii="黑体" w:hAnsi="黑体"/>
          <w:b w:val="0"/>
          <w:color w:val="auto"/>
          <w:highlight w:val="none"/>
        </w:rPr>
        <w:t>评审标准</w:t>
      </w:r>
      <w:bookmarkEnd w:id="172"/>
      <w:bookmarkEnd w:id="173"/>
      <w:bookmarkEnd w:id="174"/>
      <w:bookmarkEnd w:id="175"/>
      <w:bookmarkEnd w:id="176"/>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22.2</w:t>
      </w:r>
      <w:bookmarkStart w:id="177" w:name="_Hlk112422244"/>
      <w:r>
        <w:rPr>
          <w:rFonts w:hint="eastAsia" w:ascii="宋体" w:hAnsi="宋体"/>
          <w:bCs/>
          <w:color w:val="auto"/>
          <w:sz w:val="28"/>
          <w:szCs w:val="28"/>
          <w:highlight w:val="none"/>
        </w:rPr>
        <w:t>符合性审查标准</w:t>
      </w:r>
      <w:bookmarkEnd w:id="177"/>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22.3</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8" w:name="_Toc11953"/>
      <w:bookmarkStart w:id="179" w:name="_Toc3179"/>
      <w:bookmarkStart w:id="180" w:name="_Toc18131"/>
      <w:bookmarkStart w:id="181" w:name="_Toc29093"/>
      <w:bookmarkStart w:id="182" w:name="_Toc13319"/>
      <w:r>
        <w:rPr>
          <w:rFonts w:ascii="黑体" w:hAnsi="黑体"/>
          <w:b w:val="0"/>
          <w:color w:val="auto"/>
          <w:highlight w:val="none"/>
        </w:rPr>
        <w:t>23.</w:t>
      </w:r>
      <w:r>
        <w:rPr>
          <w:rFonts w:hint="eastAsia" w:ascii="黑体" w:hAnsi="黑体"/>
          <w:b w:val="0"/>
          <w:color w:val="auto"/>
          <w:highlight w:val="none"/>
        </w:rPr>
        <w:t>评审程序</w:t>
      </w:r>
      <w:bookmarkEnd w:id="178"/>
      <w:bookmarkEnd w:id="179"/>
      <w:bookmarkEnd w:id="180"/>
      <w:bookmarkEnd w:id="181"/>
      <w:bookmarkEnd w:id="182"/>
    </w:p>
    <w:p>
      <w:pPr>
        <w:adjustRightInd w:val="0"/>
        <w:snapToGrid w:val="0"/>
        <w:spacing w:line="560" w:lineRule="exact"/>
        <w:ind w:firstLine="560" w:firstLineChars="200"/>
        <w:rPr>
          <w:rFonts w:ascii="宋体" w:hAnsi="宋体" w:cs="Times New Roman"/>
          <w:bCs/>
          <w:color w:val="auto"/>
          <w:sz w:val="28"/>
          <w:szCs w:val="28"/>
          <w:highlight w:val="none"/>
        </w:rPr>
      </w:pPr>
      <w:r>
        <w:rPr>
          <w:rFonts w:ascii="宋体" w:hAnsi="宋体" w:cs="Times New Roman"/>
          <w:bCs/>
          <w:color w:val="auto"/>
          <w:sz w:val="28"/>
          <w:szCs w:val="28"/>
          <w:highlight w:val="none"/>
        </w:rPr>
        <w:t>23.1评审</w:t>
      </w:r>
      <w:r>
        <w:rPr>
          <w:rFonts w:hint="eastAsia" w:ascii="宋体" w:hAnsi="宋体" w:cs="Times New Roman"/>
          <w:bCs/>
          <w:color w:val="auto"/>
          <w:sz w:val="28"/>
          <w:szCs w:val="28"/>
          <w:highlight w:val="none"/>
        </w:rPr>
        <w:t>按照召开评审预备会、审阅招标文件、资格性审查、符合性审查、商务技术评审、价格评审、复核评审结果、出具评审报告、宣布评审结果、公示评审结果的基本程序组织实施。</w:t>
      </w:r>
    </w:p>
    <w:p>
      <w:pPr>
        <w:keepNext w:val="0"/>
        <w:keepLines w:val="0"/>
        <w:widowControl w:val="0"/>
        <w:adjustRightInd w:val="0"/>
        <w:snapToGrid w:val="0"/>
        <w:spacing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bookmarkStart w:id="183" w:name="_Toc9367"/>
      <w:bookmarkStart w:id="184" w:name="_Toc5348"/>
      <w:bookmarkStart w:id="185" w:name="_Toc21070"/>
      <w:bookmarkStart w:id="186" w:name="_Toc13786"/>
      <w:r>
        <w:rPr>
          <w:rFonts w:ascii="黑体" w:hAnsi="黑体" w:eastAsia="黑体" w:cs="Times New Roman"/>
          <w:b w:val="0"/>
          <w:bCs/>
          <w:color w:val="auto"/>
          <w:kern w:val="2"/>
          <w:sz w:val="28"/>
          <w:szCs w:val="28"/>
          <w:highlight w:val="none"/>
          <w:lang w:val="en-US" w:eastAsia="zh-CN" w:bidi="ar-SA"/>
        </w:rPr>
        <w:t>2</w:t>
      </w:r>
      <w:r>
        <w:rPr>
          <w:rFonts w:hint="eastAsia" w:ascii="黑体" w:hAnsi="黑体" w:eastAsia="黑体" w:cs="Times New Roman"/>
          <w:b w:val="0"/>
          <w:bCs/>
          <w:color w:val="auto"/>
          <w:kern w:val="2"/>
          <w:sz w:val="28"/>
          <w:szCs w:val="28"/>
          <w:highlight w:val="none"/>
          <w:lang w:val="en-US" w:eastAsia="zh-CN" w:bidi="ar-SA"/>
        </w:rPr>
        <w:t>4</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召开评审预备会</w:t>
      </w:r>
      <w:bookmarkEnd w:id="183"/>
      <w:bookmarkEnd w:id="184"/>
      <w:bookmarkEnd w:id="185"/>
      <w:bookmarkEnd w:id="186"/>
    </w:p>
    <w:p>
      <w:pPr>
        <w:adjustRightInd w:val="0"/>
        <w:snapToGrid w:val="0"/>
        <w:spacing w:line="560" w:lineRule="exact"/>
        <w:ind w:firstLine="560" w:firstLineChars="200"/>
        <w:rPr>
          <w:rFonts w:ascii="仿宋_GB2312" w:hAnsi="仿宋" w:cs="Times New Roman"/>
          <w:bCs/>
          <w:color w:val="auto"/>
          <w:sz w:val="28"/>
          <w:szCs w:val="36"/>
          <w:highlight w:val="none"/>
        </w:rPr>
      </w:pPr>
      <w:r>
        <w:rPr>
          <w:rFonts w:cs="Times New Roman" w:asciiTheme="minorEastAsia" w:hAnsiTheme="minorEastAsia" w:eastAsiaTheme="minorEastAsia"/>
          <w:bCs/>
          <w:color w:val="auto"/>
          <w:sz w:val="28"/>
          <w:szCs w:val="36"/>
          <w:highlight w:val="none"/>
        </w:rPr>
        <w:t>2</w:t>
      </w:r>
      <w:r>
        <w:rPr>
          <w:rFonts w:hint="eastAsia" w:cs="Times New Roman" w:asciiTheme="minorEastAsia" w:hAnsiTheme="minorEastAsia" w:eastAsiaTheme="minorEastAsia"/>
          <w:bCs/>
          <w:color w:val="auto"/>
          <w:sz w:val="28"/>
          <w:szCs w:val="36"/>
          <w:highlight w:val="none"/>
        </w:rPr>
        <w:t>4</w:t>
      </w:r>
      <w:r>
        <w:rPr>
          <w:rFonts w:cs="Times New Roman" w:asciiTheme="minorEastAsia" w:hAnsiTheme="minorEastAsia" w:eastAsiaTheme="minorEastAsia"/>
          <w:bCs/>
          <w:color w:val="auto"/>
          <w:sz w:val="28"/>
          <w:szCs w:val="36"/>
          <w:highlight w:val="none"/>
        </w:rPr>
        <w:t>.1</w:t>
      </w:r>
      <w:r>
        <w:rPr>
          <w:rFonts w:hint="eastAsia" w:cs="Times New Roman"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cs="Times New Roman"/>
          <w:bCs/>
          <w:color w:val="auto"/>
          <w:sz w:val="28"/>
          <w:szCs w:val="36"/>
          <w:highlight w:val="none"/>
        </w:rPr>
        <w:t>项目情况，采购机构重点说明评审标准和评审程序，并介绍招标文件主要内容和质疑答复情况。评审委员会全体成员按照少数服从多数的原则，实名投票推选评审委员会组长。</w:t>
      </w:r>
    </w:p>
    <w:p>
      <w:pPr>
        <w:keepNext w:val="0"/>
        <w:keepLines w:val="0"/>
        <w:widowControl w:val="0"/>
        <w:adjustRightInd w:val="0"/>
        <w:snapToGrid w:val="0"/>
        <w:spacing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r>
        <w:rPr>
          <w:rFonts w:ascii="黑体" w:hAnsi="黑体" w:eastAsia="黑体" w:cs="Times New Roman"/>
          <w:b w:val="0"/>
          <w:bCs/>
          <w:color w:val="auto"/>
          <w:kern w:val="2"/>
          <w:sz w:val="28"/>
          <w:szCs w:val="28"/>
          <w:highlight w:val="none"/>
          <w:lang w:val="en-US" w:eastAsia="zh-CN" w:bidi="ar-SA"/>
        </w:rPr>
        <w:t>2</w:t>
      </w:r>
      <w:r>
        <w:rPr>
          <w:rFonts w:hint="eastAsia" w:ascii="黑体" w:hAnsi="黑体" w:eastAsia="黑体" w:cs="Times New Roman"/>
          <w:b w:val="0"/>
          <w:bCs/>
          <w:color w:val="auto"/>
          <w:kern w:val="2"/>
          <w:sz w:val="28"/>
          <w:szCs w:val="28"/>
          <w:highlight w:val="none"/>
          <w:lang w:val="en-US" w:eastAsia="zh-CN" w:bidi="ar-SA"/>
        </w:rPr>
        <w:t>5</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审阅招标文件</w:t>
      </w:r>
    </w:p>
    <w:p>
      <w:pPr>
        <w:spacing w:line="560" w:lineRule="exact"/>
        <w:ind w:firstLine="560" w:firstLineChars="200"/>
        <w:rPr>
          <w:rFonts w:cs="Times New Roman" w:asciiTheme="minorEastAsia" w:hAnsiTheme="minorEastAsia" w:eastAsiaTheme="minorEastAsia"/>
          <w:bCs/>
          <w:color w:val="auto"/>
          <w:sz w:val="28"/>
          <w:szCs w:val="36"/>
          <w:highlight w:val="none"/>
        </w:rPr>
      </w:pPr>
      <w:r>
        <w:rPr>
          <w:rFonts w:cs="Times New Roman" w:asciiTheme="minorEastAsia" w:hAnsiTheme="minorEastAsia" w:eastAsiaTheme="minorEastAsia"/>
          <w:bCs/>
          <w:color w:val="auto"/>
          <w:sz w:val="28"/>
          <w:szCs w:val="36"/>
          <w:highlight w:val="none"/>
        </w:rPr>
        <w:t>2</w:t>
      </w:r>
      <w:r>
        <w:rPr>
          <w:rFonts w:hint="eastAsia" w:cs="Times New Roman" w:asciiTheme="minorEastAsia" w:hAnsiTheme="minorEastAsia" w:eastAsiaTheme="minorEastAsia"/>
          <w:bCs/>
          <w:color w:val="auto"/>
          <w:sz w:val="28"/>
          <w:szCs w:val="36"/>
          <w:highlight w:val="none"/>
        </w:rPr>
        <w:t>5</w:t>
      </w:r>
      <w:r>
        <w:rPr>
          <w:rFonts w:cs="Times New Roman" w:asciiTheme="minorEastAsia" w:hAnsiTheme="minorEastAsia" w:eastAsiaTheme="minorEastAsia"/>
          <w:bCs/>
          <w:color w:val="auto"/>
          <w:sz w:val="28"/>
          <w:szCs w:val="36"/>
          <w:highlight w:val="none"/>
        </w:rPr>
        <w:t>.1</w:t>
      </w:r>
      <w:r>
        <w:rPr>
          <w:rFonts w:hint="eastAsia" w:cs="Times New Roman" w:asciiTheme="minorEastAsia" w:hAnsiTheme="minorEastAsia" w:eastAsiaTheme="minorEastAsia"/>
          <w:bCs/>
          <w:color w:val="auto"/>
          <w:sz w:val="28"/>
          <w:szCs w:val="36"/>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Times New Roman" w:hAnsi="Times New Roman" w:cs="Times New Roman"/>
          <w:color w:val="auto"/>
          <w:highlight w:val="none"/>
        </w:rPr>
      </w:pPr>
      <w:r>
        <w:rPr>
          <w:rFonts w:cs="Times New Roman" w:asciiTheme="minorEastAsia" w:hAnsiTheme="minorEastAsia" w:eastAsiaTheme="minorEastAsia"/>
          <w:bCs/>
          <w:color w:val="auto"/>
          <w:sz w:val="28"/>
          <w:szCs w:val="36"/>
          <w:highlight w:val="none"/>
        </w:rPr>
        <w:t>2</w:t>
      </w:r>
      <w:r>
        <w:rPr>
          <w:rFonts w:hint="eastAsia" w:cs="Times New Roman" w:asciiTheme="minorEastAsia" w:hAnsiTheme="minorEastAsia" w:eastAsiaTheme="minorEastAsia"/>
          <w:bCs/>
          <w:color w:val="auto"/>
          <w:sz w:val="28"/>
          <w:szCs w:val="36"/>
          <w:highlight w:val="none"/>
        </w:rPr>
        <w:t>5</w:t>
      </w:r>
      <w:r>
        <w:rPr>
          <w:rFonts w:cs="Times New Roman" w:asciiTheme="minorEastAsia" w:hAnsiTheme="minorEastAsia" w:eastAsiaTheme="minorEastAsia"/>
          <w:bCs/>
          <w:color w:val="auto"/>
          <w:sz w:val="28"/>
          <w:szCs w:val="36"/>
          <w:highlight w:val="none"/>
        </w:rPr>
        <w:t>.2</w:t>
      </w:r>
      <w:r>
        <w:rPr>
          <w:rFonts w:ascii="宋体" w:hAnsi="宋体" w:cs="Times New Roman"/>
          <w:bCs/>
          <w:color w:val="auto"/>
          <w:sz w:val="28"/>
          <w:szCs w:val="28"/>
          <w:highlight w:val="none"/>
        </w:rPr>
        <w:t>评审委员会成员对</w:t>
      </w:r>
      <w:r>
        <w:rPr>
          <w:rFonts w:hint="eastAsia" w:ascii="宋体" w:hAnsi="宋体" w:cs="Times New Roman"/>
          <w:bCs/>
          <w:color w:val="auto"/>
          <w:sz w:val="28"/>
          <w:szCs w:val="28"/>
          <w:highlight w:val="none"/>
        </w:rPr>
        <w:t>招标文件</w:t>
      </w:r>
      <w:r>
        <w:rPr>
          <w:rFonts w:ascii="宋体" w:hAnsi="宋体" w:cs="Times New Roman"/>
          <w:bCs/>
          <w:color w:val="auto"/>
          <w:sz w:val="28"/>
          <w:szCs w:val="28"/>
          <w:highlight w:val="none"/>
        </w:rPr>
        <w:t>相关</w:t>
      </w:r>
      <w:r>
        <w:rPr>
          <w:rFonts w:hint="eastAsia" w:ascii="宋体" w:hAnsi="宋体" w:cs="Times New Roman"/>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keepNext w:val="0"/>
        <w:keepLines w:val="0"/>
        <w:widowControl w:val="0"/>
        <w:adjustRightInd w:val="0"/>
        <w:snapToGrid w:val="0"/>
        <w:spacing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bookmarkStart w:id="187" w:name="_Toc7141"/>
      <w:bookmarkStart w:id="188" w:name="_Toc2840"/>
      <w:bookmarkStart w:id="189" w:name="_Toc12697"/>
      <w:bookmarkStart w:id="190" w:name="_Toc24106"/>
      <w:r>
        <w:rPr>
          <w:rFonts w:ascii="黑体" w:hAnsi="黑体" w:eastAsia="黑体" w:cs="Times New Roman"/>
          <w:b w:val="0"/>
          <w:bCs/>
          <w:color w:val="auto"/>
          <w:kern w:val="2"/>
          <w:sz w:val="28"/>
          <w:szCs w:val="28"/>
          <w:highlight w:val="none"/>
          <w:lang w:val="en-US" w:eastAsia="zh-CN" w:bidi="ar-SA"/>
        </w:rPr>
        <w:t>2</w:t>
      </w:r>
      <w:r>
        <w:rPr>
          <w:rFonts w:hint="eastAsia" w:ascii="黑体" w:hAnsi="黑体" w:eastAsia="黑体" w:cs="Times New Roman"/>
          <w:b w:val="0"/>
          <w:bCs/>
          <w:color w:val="auto"/>
          <w:kern w:val="2"/>
          <w:sz w:val="28"/>
          <w:szCs w:val="28"/>
          <w:highlight w:val="none"/>
          <w:lang w:val="en-US" w:eastAsia="zh-CN" w:bidi="ar-SA"/>
        </w:rPr>
        <w:t>6</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资格性审查</w:t>
      </w:r>
      <w:bookmarkEnd w:id="187"/>
      <w:bookmarkEnd w:id="188"/>
      <w:bookmarkEnd w:id="189"/>
      <w:bookmarkEnd w:id="190"/>
    </w:p>
    <w:p>
      <w:pPr>
        <w:adjustRightInd w:val="0"/>
        <w:snapToGrid w:val="0"/>
        <w:spacing w:line="560" w:lineRule="exact"/>
        <w:ind w:firstLine="560" w:firstLineChars="200"/>
        <w:rPr>
          <w:rFonts w:ascii="宋体" w:hAnsi="宋体" w:cs="Times New Roman"/>
          <w:bCs/>
          <w:color w:val="auto"/>
          <w:sz w:val="28"/>
          <w:szCs w:val="28"/>
          <w:highlight w:val="none"/>
        </w:rPr>
      </w:pPr>
      <w:r>
        <w:rPr>
          <w:rFonts w:ascii="宋体" w:hAnsi="宋体" w:cs="Times New Roman"/>
          <w:bCs/>
          <w:color w:val="auto"/>
          <w:sz w:val="28"/>
          <w:szCs w:val="28"/>
          <w:highlight w:val="none"/>
        </w:rPr>
        <w:t>2</w:t>
      </w:r>
      <w:r>
        <w:rPr>
          <w:rFonts w:hint="eastAsia" w:ascii="宋体" w:hAnsi="宋体" w:cs="Times New Roman"/>
          <w:bCs/>
          <w:color w:val="auto"/>
          <w:sz w:val="28"/>
          <w:szCs w:val="28"/>
          <w:highlight w:val="none"/>
        </w:rPr>
        <w:t>6</w:t>
      </w:r>
      <w:r>
        <w:rPr>
          <w:rFonts w:ascii="宋体" w:hAnsi="宋体" w:cs="Times New Roman"/>
          <w:bCs/>
          <w:color w:val="auto"/>
          <w:sz w:val="28"/>
          <w:szCs w:val="28"/>
          <w:highlight w:val="none"/>
        </w:rPr>
        <w:t>.1</w:t>
      </w:r>
      <w:r>
        <w:rPr>
          <w:rFonts w:hint="eastAsia" w:ascii="宋体" w:hAnsi="宋体" w:cs="Times New Roman"/>
          <w:bCs/>
          <w:color w:val="auto"/>
          <w:sz w:val="28"/>
          <w:szCs w:val="28"/>
          <w:highlight w:val="none"/>
        </w:rPr>
        <w:t>开标后，评审委员会</w:t>
      </w:r>
      <w:r>
        <w:rPr>
          <w:rFonts w:ascii="宋体" w:hAnsi="宋体" w:cs="Times New Roman"/>
          <w:bCs/>
          <w:color w:val="auto"/>
          <w:sz w:val="28"/>
          <w:szCs w:val="28"/>
          <w:highlight w:val="none"/>
        </w:rPr>
        <w:t>依据招标文件规定</w:t>
      </w:r>
      <w:r>
        <w:rPr>
          <w:rFonts w:hint="eastAsia" w:ascii="宋体" w:hAnsi="宋体" w:cs="Times New Roman"/>
          <w:bCs/>
          <w:color w:val="auto"/>
          <w:sz w:val="28"/>
          <w:szCs w:val="28"/>
          <w:highlight w:val="none"/>
        </w:rPr>
        <w:t>的资格性审查标准</w:t>
      </w:r>
      <w:r>
        <w:rPr>
          <w:rFonts w:ascii="宋体" w:hAnsi="宋体" w:cs="Times New Roman"/>
          <w:bCs/>
          <w:color w:val="auto"/>
          <w:sz w:val="28"/>
          <w:szCs w:val="28"/>
          <w:highlight w:val="none"/>
        </w:rPr>
        <w:t>，</w:t>
      </w:r>
      <w:r>
        <w:rPr>
          <w:rFonts w:hint="eastAsia" w:ascii="宋体" w:hAnsi="宋体" w:cs="Times New Roman"/>
          <w:bCs/>
          <w:color w:val="auto"/>
          <w:sz w:val="28"/>
          <w:szCs w:val="28"/>
          <w:highlight w:val="none"/>
        </w:rPr>
        <w:t>对投标供应商的资格进行审查。</w:t>
      </w:r>
    </w:p>
    <w:p>
      <w:pPr>
        <w:adjustRightInd w:val="0"/>
        <w:snapToGrid w:val="0"/>
        <w:spacing w:line="560" w:lineRule="exact"/>
        <w:ind w:firstLine="560" w:firstLineChars="200"/>
        <w:rPr>
          <w:rFonts w:ascii="仿宋_GB2312" w:hAnsi="仿宋" w:cs="Times New Roman"/>
          <w:bCs/>
          <w:color w:val="auto"/>
          <w:sz w:val="28"/>
          <w:szCs w:val="36"/>
          <w:highlight w:val="none"/>
        </w:rPr>
      </w:pPr>
      <w:r>
        <w:rPr>
          <w:rFonts w:hint="eastAsia" w:ascii="仿宋_GB2312" w:hAnsi="仿宋" w:cs="Times New Roman"/>
          <w:bCs/>
          <w:color w:val="auto"/>
          <w:sz w:val="28"/>
          <w:szCs w:val="36"/>
          <w:highlight w:val="none"/>
        </w:rPr>
        <w:t>（</w:t>
      </w:r>
      <w:r>
        <w:rPr>
          <w:rFonts w:ascii="仿宋_GB2312" w:hAnsi="仿宋" w:cs="Times New Roman"/>
          <w:bCs/>
          <w:color w:val="auto"/>
          <w:sz w:val="28"/>
          <w:szCs w:val="36"/>
          <w:highlight w:val="none"/>
        </w:rPr>
        <w:t>1</w:t>
      </w:r>
      <w:r>
        <w:rPr>
          <w:rFonts w:hint="eastAsia" w:ascii="仿宋_GB2312" w:hAnsi="仿宋" w:cs="Times New Roman"/>
          <w:bCs/>
          <w:color w:val="auto"/>
          <w:sz w:val="28"/>
          <w:szCs w:val="36"/>
          <w:highlight w:val="none"/>
        </w:rPr>
        <w:t>）通过资格性审查的</w:t>
      </w:r>
      <w:r>
        <w:rPr>
          <w:rFonts w:hint="eastAsia" w:ascii="宋体" w:hAnsi="宋体" w:cs="Times New Roman"/>
          <w:bCs/>
          <w:color w:val="auto"/>
          <w:sz w:val="28"/>
          <w:szCs w:val="28"/>
          <w:highlight w:val="none"/>
        </w:rPr>
        <w:t>投标供应商</w:t>
      </w:r>
      <w:r>
        <w:rPr>
          <w:rFonts w:hint="eastAsia" w:ascii="仿宋_GB2312" w:hAnsi="仿宋" w:cs="Times New Roman"/>
          <w:bCs/>
          <w:color w:val="auto"/>
          <w:sz w:val="28"/>
          <w:szCs w:val="36"/>
          <w:highlight w:val="none"/>
        </w:rPr>
        <w:t>进入后续评审；未通过资格性审查的</w:t>
      </w:r>
      <w:r>
        <w:rPr>
          <w:rFonts w:hint="eastAsia" w:ascii="宋体" w:hAnsi="宋体" w:cs="Times New Roman"/>
          <w:bCs/>
          <w:color w:val="auto"/>
          <w:sz w:val="28"/>
          <w:szCs w:val="28"/>
          <w:highlight w:val="none"/>
        </w:rPr>
        <w:t>投标供应商不得</w:t>
      </w:r>
      <w:r>
        <w:rPr>
          <w:rFonts w:hint="eastAsia" w:ascii="仿宋_GB2312" w:hAnsi="仿宋" w:cs="Times New Roman"/>
          <w:bCs/>
          <w:color w:val="auto"/>
          <w:sz w:val="28"/>
          <w:szCs w:val="36"/>
          <w:highlight w:val="none"/>
        </w:rPr>
        <w:t>进入后续评审。</w:t>
      </w:r>
    </w:p>
    <w:p>
      <w:pPr>
        <w:adjustRightInd w:val="0"/>
        <w:snapToGrid w:val="0"/>
        <w:spacing w:line="560" w:lineRule="exact"/>
        <w:ind w:firstLine="560" w:firstLineChars="200"/>
        <w:rPr>
          <w:rFonts w:ascii="宋体" w:hAnsi="宋体" w:cs="Times New Roman"/>
          <w:bCs/>
          <w:color w:val="auto"/>
          <w:sz w:val="28"/>
          <w:szCs w:val="36"/>
          <w:highlight w:val="none"/>
        </w:rPr>
      </w:pPr>
      <w:r>
        <w:rPr>
          <w:rFonts w:hint="eastAsia" w:ascii="宋体" w:hAnsi="宋体" w:cs="Times New Roman"/>
          <w:bCs/>
          <w:color w:val="auto"/>
          <w:sz w:val="28"/>
          <w:szCs w:val="36"/>
          <w:highlight w:val="none"/>
        </w:rPr>
        <w:t>（</w:t>
      </w:r>
      <w:r>
        <w:rPr>
          <w:rFonts w:ascii="宋体" w:hAnsi="宋体" w:cs="Times New Roman"/>
          <w:bCs/>
          <w:color w:val="auto"/>
          <w:sz w:val="28"/>
          <w:szCs w:val="36"/>
          <w:highlight w:val="none"/>
        </w:rPr>
        <w:t>2</w:t>
      </w:r>
      <w:r>
        <w:rPr>
          <w:rFonts w:hint="eastAsia" w:ascii="宋体" w:hAnsi="宋体" w:cs="Times New Roman"/>
          <w:bCs/>
          <w:color w:val="auto"/>
          <w:sz w:val="28"/>
          <w:szCs w:val="36"/>
          <w:highlight w:val="none"/>
        </w:rPr>
        <w:t>）评审委员会对资格性审查结果签字确认。</w:t>
      </w:r>
    </w:p>
    <w:p>
      <w:pPr>
        <w:adjustRightInd w:val="0"/>
        <w:snapToGrid w:val="0"/>
        <w:spacing w:line="560" w:lineRule="exact"/>
        <w:ind w:firstLine="560" w:firstLineChars="200"/>
        <w:rPr>
          <w:rFonts w:ascii="宋体" w:hAnsi="宋体" w:cs="Times New Roman"/>
          <w:bCs/>
          <w:color w:val="auto"/>
          <w:sz w:val="28"/>
          <w:szCs w:val="36"/>
          <w:highlight w:val="none"/>
        </w:rPr>
      </w:pPr>
      <w:r>
        <w:rPr>
          <w:rFonts w:hint="eastAsia" w:ascii="宋体" w:hAnsi="宋体" w:cs="Times New Roman"/>
          <w:bCs/>
          <w:color w:val="auto"/>
          <w:sz w:val="28"/>
          <w:szCs w:val="36"/>
          <w:highlight w:val="none"/>
        </w:rPr>
        <w:t>（</w:t>
      </w:r>
      <w:r>
        <w:rPr>
          <w:rFonts w:ascii="宋体" w:hAnsi="宋体" w:cs="Times New Roman"/>
          <w:bCs/>
          <w:color w:val="auto"/>
          <w:sz w:val="28"/>
          <w:szCs w:val="36"/>
          <w:highlight w:val="none"/>
        </w:rPr>
        <w:t>3</w:t>
      </w:r>
      <w:r>
        <w:rPr>
          <w:rFonts w:hint="eastAsia" w:ascii="宋体" w:hAnsi="宋体" w:cs="Times New Roman"/>
          <w:bCs/>
          <w:color w:val="auto"/>
          <w:sz w:val="28"/>
          <w:szCs w:val="36"/>
          <w:highlight w:val="none"/>
        </w:rPr>
        <w:t>）评审委员会应当当场向未通过资格性审查的</w:t>
      </w:r>
      <w:r>
        <w:rPr>
          <w:rFonts w:hint="eastAsia" w:ascii="宋体" w:hAnsi="宋体" w:cs="Times New Roman"/>
          <w:bCs/>
          <w:color w:val="auto"/>
          <w:sz w:val="28"/>
          <w:szCs w:val="28"/>
          <w:highlight w:val="none"/>
        </w:rPr>
        <w:t>投标</w:t>
      </w:r>
      <w:r>
        <w:rPr>
          <w:rFonts w:hint="eastAsia" w:ascii="宋体" w:hAnsi="宋体" w:cs="Times New Roman"/>
          <w:bCs/>
          <w:color w:val="auto"/>
          <w:sz w:val="28"/>
          <w:szCs w:val="36"/>
          <w:highlight w:val="none"/>
        </w:rPr>
        <w:t>供应商告知审查结果和未通过原因，</w:t>
      </w:r>
      <w:r>
        <w:rPr>
          <w:rFonts w:hint="eastAsia" w:ascii="宋体" w:hAnsi="宋体" w:cs="Times New Roman"/>
          <w:bCs/>
          <w:color w:val="auto"/>
          <w:sz w:val="28"/>
          <w:szCs w:val="28"/>
          <w:highlight w:val="none"/>
        </w:rPr>
        <w:t>投标</w:t>
      </w:r>
      <w:r>
        <w:rPr>
          <w:rFonts w:hint="eastAsia" w:ascii="宋体" w:hAnsi="宋体" w:cs="Times New Roman"/>
          <w:bCs/>
          <w:color w:val="auto"/>
          <w:sz w:val="28"/>
          <w:szCs w:val="36"/>
          <w:highlight w:val="none"/>
        </w:rPr>
        <w:t>供应商签字确认；拒绝签字确认的，不影响资格性审查结果，评审委员会如实记录并存入采购档案。</w:t>
      </w:r>
      <w:r>
        <w:rPr>
          <w:rFonts w:hint="eastAsia" w:ascii="宋体" w:hAnsi="宋体" w:cs="Times New Roman"/>
          <w:bCs/>
          <w:color w:val="auto"/>
          <w:sz w:val="28"/>
          <w:szCs w:val="28"/>
          <w:highlight w:val="none"/>
        </w:rPr>
        <w:t>投标</w:t>
      </w:r>
      <w:r>
        <w:rPr>
          <w:rFonts w:hint="eastAsia" w:ascii="宋体" w:hAnsi="宋体" w:cs="Times New Roman"/>
          <w:bCs/>
          <w:color w:val="auto"/>
          <w:sz w:val="28"/>
          <w:szCs w:val="36"/>
          <w:highlight w:val="none"/>
        </w:rPr>
        <w:t>供应商有疑义的，应当当场解答。</w:t>
      </w:r>
    </w:p>
    <w:p>
      <w:pPr>
        <w:adjustRightInd w:val="0"/>
        <w:snapToGrid w:val="0"/>
        <w:spacing w:line="560" w:lineRule="exact"/>
        <w:ind w:firstLine="560" w:firstLineChars="200"/>
        <w:rPr>
          <w:color w:val="auto"/>
          <w:highlight w:val="none"/>
        </w:rPr>
      </w:pPr>
      <w:r>
        <w:rPr>
          <w:rFonts w:ascii="宋体" w:hAnsi="宋体" w:cs="Times New Roman"/>
          <w:bCs/>
          <w:color w:val="auto"/>
          <w:sz w:val="28"/>
          <w:szCs w:val="28"/>
          <w:highlight w:val="none"/>
        </w:rPr>
        <w:t>2</w:t>
      </w:r>
      <w:r>
        <w:rPr>
          <w:rFonts w:hint="eastAsia" w:ascii="宋体" w:hAnsi="宋体" w:cs="Times New Roman"/>
          <w:bCs/>
          <w:color w:val="auto"/>
          <w:sz w:val="28"/>
          <w:szCs w:val="28"/>
          <w:highlight w:val="none"/>
        </w:rPr>
        <w:t>6</w:t>
      </w:r>
      <w:r>
        <w:rPr>
          <w:rFonts w:ascii="宋体" w:hAnsi="宋体" w:cs="Times New Roman"/>
          <w:bCs/>
          <w:color w:val="auto"/>
          <w:sz w:val="28"/>
          <w:szCs w:val="28"/>
          <w:highlight w:val="none"/>
        </w:rPr>
        <w:t>.2招标过程中，供应商发生合并、分立</w:t>
      </w:r>
      <w:r>
        <w:rPr>
          <w:rFonts w:hint="eastAsia" w:ascii="宋体" w:hAnsi="宋体" w:cs="Times New Roman"/>
          <w:bCs/>
          <w:color w:val="auto"/>
          <w:sz w:val="28"/>
          <w:szCs w:val="28"/>
          <w:highlight w:val="none"/>
        </w:rPr>
        <w:t>或</w:t>
      </w:r>
      <w:r>
        <w:rPr>
          <w:rFonts w:ascii="宋体" w:hAnsi="宋体" w:cs="Times New Roman"/>
          <w:bCs/>
          <w:color w:val="auto"/>
          <w:sz w:val="28"/>
          <w:szCs w:val="28"/>
          <w:highlight w:val="none"/>
        </w:rPr>
        <w:t>破产等重大变化时，应当及时书面告知采购机构。</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1" w:name="_Toc12912"/>
      <w:bookmarkStart w:id="192" w:name="_Toc7999"/>
      <w:bookmarkStart w:id="193" w:name="_Toc6186"/>
      <w:bookmarkStart w:id="194" w:name="_Toc17647"/>
      <w:bookmarkStart w:id="195" w:name="_Toc25722"/>
      <w:r>
        <w:rPr>
          <w:rFonts w:ascii="黑体" w:hAnsi="黑体"/>
          <w:b w:val="0"/>
          <w:color w:val="auto"/>
          <w:highlight w:val="none"/>
        </w:rPr>
        <w:t>27.</w:t>
      </w:r>
      <w:r>
        <w:rPr>
          <w:rFonts w:hint="eastAsia" w:ascii="黑体" w:hAnsi="黑体"/>
          <w:b w:val="0"/>
          <w:color w:val="auto"/>
          <w:highlight w:val="none"/>
        </w:rPr>
        <w:t>符合性审查</w:t>
      </w:r>
      <w:bookmarkEnd w:id="191"/>
      <w:bookmarkEnd w:id="192"/>
      <w:bookmarkEnd w:id="193"/>
      <w:bookmarkEnd w:id="194"/>
      <w:bookmarkEnd w:id="195"/>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投标文件的偏离与实质性响应：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1）招标文件中用“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不允许负偏离，投标供应商应当作出实质性响应，未作实质性响应的视为无效投标。</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2）投标文件</w:t>
      </w:r>
      <w:r>
        <w:rPr>
          <w:rFonts w:hint="eastAsia" w:asciiTheme="minorEastAsia" w:hAnsiTheme="minorEastAsia" w:eastAsiaTheme="minorEastAsia"/>
          <w:bCs/>
          <w:color w:val="auto"/>
          <w:sz w:val="28"/>
          <w:szCs w:val="28"/>
          <w:highlight w:val="none"/>
        </w:rPr>
        <w:t>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【投标供应商须知前附表】明确的要求，否则视为无效投标。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36"/>
          <w:highlight w:val="none"/>
        </w:rPr>
        <w:t>27.2</w:t>
      </w:r>
      <w:r>
        <w:rPr>
          <w:rFonts w:hint="eastAsia" w:ascii="宋体" w:hAnsi="宋体"/>
          <w:bCs/>
          <w:color w:val="auto"/>
          <w:sz w:val="28"/>
          <w:szCs w:val="28"/>
          <w:highlight w:val="none"/>
        </w:rPr>
        <w:t>采购机</w:t>
      </w:r>
      <w:r>
        <w:rPr>
          <w:rFonts w:hint="eastAsia" w:asciiTheme="minorEastAsia" w:hAnsiTheme="minorEastAsia" w:eastAsiaTheme="minorEastAsia"/>
          <w:bCs/>
          <w:color w:val="auto"/>
          <w:sz w:val="28"/>
          <w:szCs w:val="28"/>
          <w:highlight w:val="none"/>
        </w:rPr>
        <w:t>构资格性审查结束后，评审委员会应当依据招标文件规定的符</w:t>
      </w:r>
      <w:r>
        <w:rPr>
          <w:rFonts w:hint="eastAsia" w:ascii="宋体" w:hAnsi="宋体"/>
          <w:bCs/>
          <w:color w:val="auto"/>
          <w:sz w:val="28"/>
          <w:szCs w:val="28"/>
          <w:highlight w:val="none"/>
        </w:rPr>
        <w:t>合性审查标准，对资格性审查合格的投标</w:t>
      </w:r>
      <w:r>
        <w:rPr>
          <w:rFonts w:hint="eastAsia" w:ascii="仿宋_GB2312" w:hAnsi="仿宋"/>
          <w:bCs/>
          <w:color w:val="auto"/>
          <w:sz w:val="28"/>
          <w:szCs w:val="36"/>
          <w:highlight w:val="none"/>
        </w:rPr>
        <w:t>供应商</w:t>
      </w:r>
      <w:r>
        <w:rPr>
          <w:rFonts w:hint="eastAsia" w:ascii="宋体" w:hAnsi="宋体"/>
          <w:bCs/>
          <w:color w:val="auto"/>
          <w:sz w:val="28"/>
          <w:szCs w:val="28"/>
          <w:highlight w:val="none"/>
        </w:rPr>
        <w:t>的投标文件进行符合性审查，确定其是否满足招标文件的实质性要求。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1）不得以招标文件未明确的内容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投标供应商</w:t>
      </w:r>
      <w:r>
        <w:rPr>
          <w:rFonts w:ascii="宋体" w:hAnsi="宋体"/>
          <w:bCs/>
          <w:color w:val="auto"/>
          <w:sz w:val="28"/>
          <w:szCs w:val="28"/>
          <w:highlight w:val="none"/>
          <w:lang w:val="zh-CN"/>
        </w:rPr>
        <w:t>投标无效</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6" w:name="_Toc121216113"/>
      <w:bookmarkStart w:id="197" w:name="_Toc21212"/>
      <w:r>
        <w:rPr>
          <w:rFonts w:ascii="黑体" w:hAnsi="黑体"/>
          <w:b w:val="0"/>
          <w:color w:val="auto"/>
          <w:highlight w:val="none"/>
        </w:rPr>
        <w:t>28.</w:t>
      </w:r>
      <w:r>
        <w:rPr>
          <w:rFonts w:hint="eastAsia" w:ascii="黑体" w:hAnsi="黑体"/>
          <w:b w:val="0"/>
          <w:color w:val="auto"/>
          <w:highlight w:val="none"/>
        </w:rPr>
        <w:t>解释与澄清</w:t>
      </w:r>
      <w:bookmarkEnd w:id="196"/>
      <w:bookmarkEnd w:id="197"/>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2）项规定修正。修正后的内容经</w:t>
      </w:r>
      <w:r>
        <w:rPr>
          <w:rFonts w:hint="eastAsia" w:asciiTheme="minorEastAsia" w:hAnsiTheme="minorEastAsia" w:eastAsiaTheme="minorEastAsia"/>
          <w:bCs/>
          <w:color w:val="auto"/>
          <w:sz w:val="28"/>
          <w:szCs w:val="28"/>
          <w:highlight w:val="none"/>
        </w:rPr>
        <w:t>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要求或接受投标供应商作出超出投标文件的范围、与投标文件原义不同，或改变投标文件实质性内容的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cs="仿宋" w:asciiTheme="minorEastAsia" w:hAnsiTheme="minorEastAsia" w:eastAsiaTheme="minorEastAsia"/>
          <w:bCs/>
          <w:color w:val="auto"/>
          <w:sz w:val="28"/>
          <w:szCs w:val="28"/>
          <w:highlight w:val="none"/>
        </w:rPr>
        <w:t>（</w:t>
      </w:r>
      <w:r>
        <w:rPr>
          <w:rFonts w:cs="仿宋"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）投标文件中未提供的资格性、符合性审查要求的证明材料。</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pStyle w:val="17"/>
        <w:spacing w:after="0"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29.1</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w:t>
      </w:r>
      <w:r>
        <w:rPr>
          <w:rFonts w:hint="eastAsia" w:asciiTheme="minorEastAsia" w:hAnsiTheme="minorEastAsia" w:eastAsiaTheme="minorEastAsia"/>
          <w:bCs/>
          <w:color w:val="auto"/>
          <w:sz w:val="28"/>
          <w:szCs w:val="28"/>
          <w:highlight w:val="none"/>
        </w:rPr>
        <w:t>均</w:t>
      </w:r>
      <w:r>
        <w:rPr>
          <w:rFonts w:asciiTheme="minorEastAsia" w:hAnsiTheme="minorEastAsia" w:eastAsiaTheme="minorEastAsia"/>
          <w:bCs/>
          <w:color w:val="auto"/>
          <w:sz w:val="28"/>
          <w:szCs w:val="28"/>
          <w:highlight w:val="none"/>
        </w:rPr>
        <w:t>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29.2采用经评审的最低价法评审时：</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评审委员会按招标文件规定的评审标准，对商务、技术指标是否实质性响应进行判定；必要时，对技术指标优劣进行排序。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29.3样品评审。</w:t>
      </w:r>
      <w:r>
        <w:rPr>
          <w:rFonts w:hint="eastAsia" w:asciiTheme="minorEastAsia" w:hAnsiTheme="minorEastAsia" w:eastAsiaTheme="minorEastAsia"/>
          <w:bCs/>
          <w:color w:val="auto"/>
          <w:sz w:val="28"/>
          <w:szCs w:val="28"/>
          <w:highlight w:val="none"/>
        </w:rPr>
        <w:t>除【投标供应商须知前附表】另有规定外，</w:t>
      </w:r>
      <w:r>
        <w:rPr>
          <w:rFonts w:hint="eastAsia" w:ascii="宋体" w:hAnsi="宋体" w:cs="宋体"/>
          <w:bCs/>
          <w:snapToGrid w:val="0"/>
          <w:color w:val="auto"/>
          <w:sz w:val="28"/>
          <w:szCs w:val="28"/>
          <w:highlight w:val="none"/>
          <w:lang w:val="zh-CN"/>
        </w:rPr>
        <w:t>样品评审采用盲评。投标供应商应当对提供样品的明显标识、铭牌和标签等进行遮挡，采购机构在样品评审前统一编号，评审委员会依据样品评审标准进行盲评。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color w:val="auto"/>
          <w:highlight w:val="none"/>
          <w:lang w:val="zh-CN"/>
        </w:rPr>
      </w:pPr>
      <w:r>
        <w:rPr>
          <w:rFonts w:ascii="宋体" w:hAnsi="宋体" w:cs="宋体"/>
          <w:bCs/>
          <w:snapToGrid w:val="0"/>
          <w:color w:val="auto"/>
          <w:sz w:val="28"/>
          <w:szCs w:val="28"/>
          <w:highlight w:val="none"/>
          <w:lang w:val="zh-CN"/>
        </w:rPr>
        <w:t>29.4相同品牌或核心产品评审。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ascii="仿宋_GB2312" w:hAnsi="仿宋"/>
          <w:bCs/>
          <w:color w:val="auto"/>
          <w:sz w:val="28"/>
          <w:szCs w:val="36"/>
          <w:highlight w:val="none"/>
        </w:rPr>
        <w:t>投标供应商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，投标供应商数量按1家</w:t>
      </w:r>
      <w:r>
        <w:rPr>
          <w:rFonts w:hint="eastAsia" w:ascii="仿宋_GB2312" w:hAnsi="仿宋"/>
          <w:bCs/>
          <w:color w:val="auto"/>
          <w:sz w:val="28"/>
          <w:szCs w:val="36"/>
          <w:highlight w:val="none"/>
        </w:rPr>
        <w:t>投标供应商</w:t>
      </w:r>
      <w:r>
        <w:rPr>
          <w:rFonts w:hint="eastAsia" w:ascii="宋体" w:hAnsi="宋体"/>
          <w:bCs/>
          <w:color w:val="auto"/>
          <w:sz w:val="28"/>
          <w:szCs w:val="36"/>
          <w:highlight w:val="none"/>
        </w:rPr>
        <w:t>计算。提供不同品牌产品的</w:t>
      </w:r>
      <w:r>
        <w:rPr>
          <w:rFonts w:hint="eastAsia" w:ascii="仿宋_GB2312" w:hAnsi="仿宋"/>
          <w:bCs/>
          <w:color w:val="auto"/>
          <w:sz w:val="28"/>
          <w:szCs w:val="36"/>
          <w:highlight w:val="none"/>
        </w:rPr>
        <w:t>投标供应商达到3家及以上的继续组织评审。其中，采用综合评分法、质量优先法的，应当分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hint="eastAsia" w:asciiTheme="minorEastAsia" w:hAnsiTheme="minorEastAsia" w:eastAsiaTheme="minorEastAsia"/>
          <w:bCs/>
          <w:color w:val="auto"/>
          <w:sz w:val="28"/>
          <w:szCs w:val="28"/>
          <w:highlight w:val="none"/>
        </w:rPr>
        <w:t>【投标供应商须知前附表】明确的方式</w:t>
      </w:r>
      <w:r>
        <w:rPr>
          <w:rFonts w:hint="eastAsia" w:ascii="仿宋_GB2312" w:hAnsi="仿宋"/>
          <w:bCs/>
          <w:color w:val="auto"/>
          <w:sz w:val="28"/>
          <w:szCs w:val="36"/>
          <w:highlight w:val="none"/>
        </w:rPr>
        <w:t>确定1家投标供应商参加后续评审。只有</w:t>
      </w:r>
      <w:r>
        <w:rPr>
          <w:rFonts w:ascii="仿宋_GB2312" w:hAnsi="仿宋"/>
          <w:bCs/>
          <w:color w:val="auto"/>
          <w:sz w:val="28"/>
          <w:szCs w:val="36"/>
          <w:highlight w:val="none"/>
        </w:rPr>
        <w:t>2</w:t>
      </w:r>
      <w:r>
        <w:rPr>
          <w:rFonts w:hint="eastAsia" w:ascii="仿宋_GB2312" w:hAnsi="仿宋"/>
          <w:bCs/>
          <w:color w:val="auto"/>
          <w:sz w:val="28"/>
          <w:szCs w:val="36"/>
          <w:highlight w:val="none"/>
        </w:rPr>
        <w:t>家品牌产品的，按照第</w:t>
      </w:r>
      <w:r>
        <w:rPr>
          <w:rFonts w:ascii="宋体" w:hAnsi="宋体"/>
          <w:bCs/>
          <w:color w:val="auto"/>
          <w:sz w:val="28"/>
          <w:szCs w:val="36"/>
          <w:highlight w:val="none"/>
        </w:rPr>
        <w:t>20.4</w:t>
      </w:r>
      <w:r>
        <w:rPr>
          <w:rFonts w:hint="eastAsia" w:ascii="宋体" w:hAnsi="宋体"/>
          <w:bCs/>
          <w:color w:val="auto"/>
          <w:sz w:val="28"/>
          <w:szCs w:val="36"/>
          <w:highlight w:val="none"/>
        </w:rPr>
        <w:t>条</w:t>
      </w:r>
      <w:r>
        <w:rPr>
          <w:rFonts w:hint="eastAsia" w:ascii="仿宋_GB2312" w:hAnsi="仿宋"/>
          <w:bCs/>
          <w:color w:val="auto"/>
          <w:sz w:val="28"/>
          <w:szCs w:val="36"/>
          <w:highlight w:val="none"/>
        </w:rPr>
        <w:t>明确的方法执行。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多家投标供应商提供的核心产品品牌相同的，以及招标文件未明确核心产品、不同投标供应商提供的相同品牌产品金额均超过各自报价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家投标供应商计算，依据前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29.5</w:t>
      </w:r>
      <w:r>
        <w:rPr>
          <w:rFonts w:hint="eastAsia" w:ascii="宋体" w:hAnsi="宋体"/>
          <w:bCs/>
          <w:color w:val="auto"/>
          <w:sz w:val="28"/>
          <w:szCs w:val="28"/>
          <w:highlight w:val="none"/>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30.1</w:t>
      </w:r>
      <w:r>
        <w:rPr>
          <w:rFonts w:hint="eastAsia" w:asciiTheme="minorEastAsia" w:hAnsiTheme="minorEastAsia" w:eastAsiaTheme="minorEastAsia"/>
          <w:bCs/>
          <w:color w:val="auto"/>
          <w:sz w:val="28"/>
          <w:szCs w:val="28"/>
          <w:highlight w:val="none"/>
        </w:rPr>
        <w:t>综合评分法和质量优先法的价格分，采用低价优先法计算，即满足招标文件实质性要求的投标供应商最低报价为评审基准价，其价格分为满分（标准分值）。其他投标供应商的价格分按照下列公式计算：</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如有第</w:t>
      </w: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条出现的算术修正，以算术修正后的价格计算评审基准价和投标报价。</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30.2经评审的最低价法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按照投标报价由低到高顺序排列</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评审委员会认为投标供应商报价低于其他所有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30.4投标供应商投标报价超过预算的，按照下列方式处理：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中标供应商报价未超预算的，评审结果有效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中标供应商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确定中标供应商，</w:t>
      </w:r>
      <w:r>
        <w:rPr>
          <w:rFonts w:hint="eastAsia" w:ascii="宋体" w:hAnsi="宋体"/>
          <w:bCs/>
          <w:color w:val="auto"/>
          <w:sz w:val="28"/>
          <w:szCs w:val="28"/>
          <w:highlight w:val="none"/>
        </w:rPr>
        <w:t>但剩余有效投标供应商数量应当达到需要递补投标供应商数量的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w:t>
      </w:r>
      <w:r>
        <w:rPr>
          <w:rFonts w:ascii="宋体" w:hAnsi="宋体"/>
          <w:bCs/>
          <w:color w:val="auto"/>
          <w:sz w:val="28"/>
          <w:szCs w:val="28"/>
          <w:highlight w:val="none"/>
        </w:rPr>
        <w:t>中标总金额未超预算的，视为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1.1</w:t>
      </w:r>
      <w:r>
        <w:rPr>
          <w:rFonts w:hint="eastAsia" w:asciiTheme="minorEastAsia" w:hAnsiTheme="minorEastAsia" w:eastAsiaTheme="minorEastAsia"/>
          <w:bCs/>
          <w:color w:val="auto"/>
          <w:sz w:val="28"/>
          <w:szCs w:val="28"/>
          <w:highlight w:val="none"/>
        </w:rPr>
        <w:t>投标供应商评审总得分为投标报价、商务、技术评分项得分之和。评分分值计算保留小数点后两位，小数点后第三位“四舍五入”。</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复核评审结果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pStyle w:val="17"/>
        <w:spacing w:after="0"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2.2</w:t>
      </w:r>
      <w:r>
        <w:rPr>
          <w:rFonts w:hint="eastAsia" w:asciiTheme="minorEastAsia" w:hAnsiTheme="minorEastAsia" w:eastAsiaTheme="minorEastAsia"/>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8" w:name="_Toc20413"/>
      <w:bookmarkStart w:id="199" w:name="_Toc11969"/>
      <w:bookmarkStart w:id="200" w:name="_Toc20681"/>
      <w:bookmarkStart w:id="201" w:name="_Toc6924"/>
      <w:bookmarkStart w:id="202" w:name="_Toc14049"/>
      <w:r>
        <w:rPr>
          <w:rFonts w:ascii="黑体" w:hAnsi="黑体"/>
          <w:b w:val="0"/>
          <w:color w:val="auto"/>
          <w:highlight w:val="none"/>
        </w:rPr>
        <w:t>33.</w:t>
      </w:r>
      <w:r>
        <w:rPr>
          <w:rFonts w:hint="eastAsia" w:ascii="黑体" w:hAnsi="黑体"/>
          <w:b w:val="0"/>
          <w:color w:val="auto"/>
          <w:highlight w:val="none"/>
        </w:rPr>
        <w:t>推荐预中标供应商</w:t>
      </w:r>
      <w:bookmarkEnd w:id="198"/>
      <w:bookmarkEnd w:id="199"/>
      <w:bookmarkEnd w:id="200"/>
      <w:bookmarkEnd w:id="201"/>
      <w:bookmarkEnd w:id="202"/>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评审委员会依据经过复核的评审结果，对投标供应商进行排序并推荐预中标供应商。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33.1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33.2投标供应商报价高于全体有效投标供应商平均报价40%以上的，不得推荐为预中标供应商。采用综合评分法或质量优先法评审时，投标供应商的商务和技术得分低于所有有效投标供应商商务和技术得分平均值30%以上的投标供应商，不得推荐为预中标供应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33.3中标供应商数量、价格</w:t>
      </w:r>
    </w:p>
    <w:p>
      <w:pPr>
        <w:pStyle w:val="17"/>
        <w:spacing w:after="0" w:line="560" w:lineRule="exact"/>
        <w:ind w:firstLine="560" w:firstLineChars="200"/>
        <w:rPr>
          <w:rFonts w:ascii="仿宋_GB2312" w:hAnsi="仿宋"/>
          <w:color w:val="auto"/>
          <w:sz w:val="28"/>
          <w:szCs w:val="28"/>
          <w:highlight w:val="none"/>
        </w:rPr>
      </w:pPr>
      <w:r>
        <w:rPr>
          <w:rFonts w:hint="eastAsia" w:ascii="仿宋_GB2312" w:hAnsi="仿宋"/>
          <w:color w:val="auto"/>
          <w:sz w:val="28"/>
          <w:szCs w:val="28"/>
          <w:highlight w:val="none"/>
        </w:rPr>
        <w:t>同一品种物资项目通常不得分包，但采购数量金额大或保障范围广，且</w:t>
      </w:r>
      <w:r>
        <w:rPr>
          <w:rFonts w:ascii="仿宋_GB2312" w:hAnsi="仿宋"/>
          <w:color w:val="auto"/>
          <w:sz w:val="28"/>
          <w:szCs w:val="28"/>
          <w:highlight w:val="none"/>
        </w:rPr>
        <w:t>1</w:t>
      </w:r>
      <w:r>
        <w:rPr>
          <w:rFonts w:hint="eastAsia" w:ascii="仿宋_GB2312" w:hAnsi="仿宋"/>
          <w:color w:val="auto"/>
          <w:sz w:val="28"/>
          <w:szCs w:val="28"/>
          <w:highlight w:val="none"/>
        </w:rPr>
        <w:t>家供应商履约能力无法满足要求的，可以一包选取</w:t>
      </w:r>
      <w:r>
        <w:rPr>
          <w:rFonts w:ascii="仿宋_GB2312" w:hAnsi="仿宋"/>
          <w:color w:val="auto"/>
          <w:sz w:val="28"/>
          <w:szCs w:val="28"/>
          <w:highlight w:val="none"/>
        </w:rPr>
        <w:t>2</w:t>
      </w:r>
      <w:r>
        <w:rPr>
          <w:rFonts w:hint="eastAsia" w:ascii="仿宋_GB2312" w:hAnsi="仿宋"/>
          <w:color w:val="auto"/>
          <w:sz w:val="28"/>
          <w:szCs w:val="28"/>
          <w:highlight w:val="none"/>
        </w:rPr>
        <w:t>家以上中标供应商，依据排名依次递减的原则确定承担任务数量或范围；也可以分成多包，每包确定</w:t>
      </w:r>
      <w:r>
        <w:rPr>
          <w:rFonts w:ascii="仿宋_GB2312" w:hAnsi="仿宋"/>
          <w:color w:val="auto"/>
          <w:sz w:val="28"/>
          <w:szCs w:val="28"/>
          <w:highlight w:val="none"/>
        </w:rPr>
        <w:t>1</w:t>
      </w:r>
      <w:r>
        <w:rPr>
          <w:rFonts w:hint="eastAsia" w:ascii="仿宋_GB2312" w:hAnsi="仿宋"/>
          <w:color w:val="auto"/>
          <w:sz w:val="28"/>
          <w:szCs w:val="28"/>
          <w:highlight w:val="none"/>
        </w:rPr>
        <w:t>家供应商。采购机构应当在招标文件中载明中标供应商数量、承担任务的数量或范围。具体要求见投标邀请书。</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确定多家供应商中标的，投标供应商数量通常为中标数量的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20.4</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经评审符合要求的投标供应商数量通常为中标数量的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倍的，采购机构可以商采购单位相应减少中标数量，经采购单位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hAnsi="宋体"/>
          <w:color w:val="auto"/>
          <w:highlight w:val="none"/>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4.1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5.1</w:t>
      </w:r>
      <w:r>
        <w:rPr>
          <w:rFonts w:hint="eastAsia" w:ascii="宋体" w:hAnsi="宋体"/>
          <w:bCs/>
          <w:color w:val="auto"/>
          <w:sz w:val="28"/>
          <w:szCs w:val="28"/>
          <w:highlight w:val="none"/>
        </w:rPr>
        <w:t>评审委员会组长应当当场向所有投标供应商宣布评审结果，包括投标供应商评审排名和报价，无效投标供应商名单和原因等。投标供应商有疑义的，评审委员会应当当场予以解答。</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3" w:name="_Toc8122"/>
      <w:bookmarkStart w:id="204" w:name="_Toc25551"/>
      <w:bookmarkStart w:id="205" w:name="_Toc14944"/>
      <w:bookmarkStart w:id="206" w:name="_Toc7662"/>
      <w:bookmarkStart w:id="207" w:name="_Toc22174"/>
      <w:r>
        <w:rPr>
          <w:rFonts w:ascii="黑体" w:hAnsi="黑体"/>
          <w:b w:val="0"/>
          <w:color w:val="auto"/>
          <w:highlight w:val="none"/>
        </w:rPr>
        <w:t>36.</w:t>
      </w:r>
      <w:r>
        <w:rPr>
          <w:rFonts w:hint="eastAsia" w:ascii="黑体" w:hAnsi="黑体"/>
          <w:b w:val="0"/>
          <w:color w:val="auto"/>
          <w:highlight w:val="none"/>
        </w:rPr>
        <w:t>无效投标</w:t>
      </w:r>
      <w:bookmarkEnd w:id="203"/>
      <w:bookmarkEnd w:id="204"/>
      <w:bookmarkEnd w:id="205"/>
      <w:bookmarkEnd w:id="206"/>
      <w:bookmarkEnd w:id="207"/>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未按照招标文件要求签署、盖章的；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投标有效期不符合招标文件要求的；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其他不满足招标文件载明的符合性要求的。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bCs/>
          <w:color w:val="auto"/>
          <w:sz w:val="28"/>
          <w:szCs w:val="28"/>
          <w:highlight w:val="none"/>
        </w:rPr>
      </w:pPr>
      <w:r>
        <w:rPr>
          <w:rFonts w:ascii="宋体" w:hAnsi="宋体"/>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bookmarkStart w:id="208" w:name="_Toc24181"/>
      <w:bookmarkStart w:id="209" w:name="_Toc7752"/>
      <w:bookmarkStart w:id="210" w:name="_Toc20491"/>
      <w:bookmarkStart w:id="211" w:name="_Toc20568"/>
      <w:bookmarkStart w:id="212" w:name="_Toc30788"/>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废标</w:t>
      </w:r>
      <w:bookmarkEnd w:id="208"/>
      <w:bookmarkEnd w:id="209"/>
      <w:bookmarkEnd w:id="210"/>
      <w:bookmarkEnd w:id="211"/>
      <w:bookmarkEnd w:id="21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eastAsia="黑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13" w:name="_Toc28683"/>
      <w:bookmarkStart w:id="214" w:name="_Toc29887"/>
      <w:bookmarkStart w:id="215" w:name="_Toc23656"/>
      <w:bookmarkStart w:id="216" w:name="_Toc29718"/>
      <w:bookmarkStart w:id="217" w:name="_Toc15536"/>
      <w:r>
        <w:rPr>
          <w:rFonts w:ascii="黑体" w:hAnsi="黑体"/>
          <w:b w:val="0"/>
          <w:color w:val="auto"/>
          <w:highlight w:val="none"/>
        </w:rPr>
        <w:t>39.</w:t>
      </w:r>
      <w:r>
        <w:rPr>
          <w:rFonts w:hint="eastAsia" w:ascii="黑体" w:hAnsi="黑体"/>
          <w:b w:val="0"/>
          <w:color w:val="auto"/>
          <w:highlight w:val="none"/>
        </w:rPr>
        <w:t>终止评审</w:t>
      </w:r>
      <w:bookmarkEnd w:id="213"/>
      <w:bookmarkEnd w:id="214"/>
      <w:bookmarkEnd w:id="215"/>
      <w:bookmarkEnd w:id="216"/>
      <w:bookmarkEnd w:id="21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仿宋_GB2312" w:hAnsi="仿宋"/>
          <w:bCs/>
          <w:color w:val="auto"/>
          <w:sz w:val="28"/>
          <w:szCs w:val="28"/>
          <w:highlight w:val="none"/>
        </w:rPr>
        <w:t>在评审过程中，有下列情形之一的，评审委员会应当</w:t>
      </w:r>
      <w:bookmarkStart w:id="218" w:name="_Hlk112188545"/>
      <w:r>
        <w:rPr>
          <w:rFonts w:hint="eastAsia" w:ascii="仿宋_GB2312" w:hAnsi="仿宋"/>
          <w:bCs/>
          <w:color w:val="auto"/>
          <w:sz w:val="28"/>
          <w:szCs w:val="28"/>
          <w:highlight w:val="none"/>
        </w:rPr>
        <w:t>终止评审</w:t>
      </w:r>
      <w:bookmarkEnd w:id="218"/>
      <w:r>
        <w:rPr>
          <w:rFonts w:hint="eastAsia" w:ascii="仿宋_GB2312" w:hAnsi="仿宋"/>
          <w:bCs/>
          <w:color w:val="auto"/>
          <w:sz w:val="28"/>
          <w:szCs w:val="28"/>
          <w:highlight w:val="none"/>
        </w:rPr>
        <w:t>，并书面说明情况：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参加投标供应商均不符合相关要求的；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19" w:name="_Toc26245"/>
      <w:bookmarkStart w:id="220" w:name="_Toc132190124"/>
      <w:bookmarkStart w:id="221" w:name="_Toc18351"/>
      <w:bookmarkStart w:id="222" w:name="_Toc6307"/>
      <w:bookmarkStart w:id="223" w:name="_Toc32353"/>
      <w:bookmarkStart w:id="224" w:name="_Toc28474"/>
      <w:bookmarkStart w:id="225" w:name="_Toc112317773"/>
      <w:r>
        <w:rPr>
          <w:rFonts w:hint="eastAsia"/>
          <w:b w:val="0"/>
          <w:color w:val="auto"/>
          <w:highlight w:val="none"/>
        </w:rPr>
        <w:t>六、定标</w:t>
      </w:r>
      <w:bookmarkEnd w:id="219"/>
      <w:bookmarkEnd w:id="220"/>
      <w:bookmarkEnd w:id="221"/>
      <w:bookmarkEnd w:id="222"/>
      <w:bookmarkEnd w:id="223"/>
      <w:bookmarkEnd w:id="224"/>
      <w:bookmarkEnd w:id="225"/>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26" w:name="_Toc29662"/>
      <w:bookmarkStart w:id="227" w:name="_Toc23367"/>
      <w:bookmarkStart w:id="228" w:name="_Toc26800"/>
      <w:bookmarkStart w:id="229" w:name="_Toc28022"/>
      <w:bookmarkStart w:id="230" w:name="_Toc27897"/>
      <w:r>
        <w:rPr>
          <w:rFonts w:ascii="黑体" w:hAnsi="黑体"/>
          <w:b w:val="0"/>
          <w:color w:val="auto"/>
          <w:highlight w:val="none"/>
        </w:rPr>
        <w:t>40.</w:t>
      </w:r>
      <w:r>
        <w:rPr>
          <w:rFonts w:hint="eastAsia" w:ascii="黑体" w:hAnsi="黑体"/>
          <w:b w:val="0"/>
          <w:color w:val="auto"/>
          <w:highlight w:val="none"/>
        </w:rPr>
        <w:t>中标供应商公示</w:t>
      </w:r>
      <w:bookmarkEnd w:id="226"/>
      <w:bookmarkEnd w:id="227"/>
      <w:bookmarkEnd w:id="228"/>
      <w:bookmarkEnd w:id="229"/>
      <w:bookmarkEnd w:id="23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w:t>
      </w:r>
      <w:r>
        <w:rPr>
          <w:rFonts w:hint="eastAsia" w:ascii="宋体" w:hAnsi="宋体"/>
          <w:bCs/>
          <w:color w:val="auto"/>
          <w:sz w:val="28"/>
          <w:szCs w:val="28"/>
          <w:highlight w:val="none"/>
          <w:lang w:val="zh-CN"/>
        </w:rPr>
        <w:t>军队采购网（www.plap.mil.cn）和采购机构官网</w:t>
      </w:r>
      <w:r>
        <w:rPr>
          <w:rFonts w:hint="default" w:ascii="宋体" w:hAnsi="宋体"/>
          <w:bCs/>
          <w:color w:val="auto"/>
          <w:sz w:val="28"/>
          <w:szCs w:val="28"/>
          <w:highlight w:val="none"/>
        </w:rPr>
        <w:t>(https://zbcg.301hospital.com.cn)</w:t>
      </w:r>
      <w:bookmarkStart w:id="505" w:name="_GoBack"/>
      <w:bookmarkEnd w:id="505"/>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采购机构将评审结果报采购单位；有异议的，投标供应商可以依据招标文件规定的方式提出质疑。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中标供应商</w:t>
      </w:r>
      <w:r>
        <w:rPr>
          <w:rFonts w:ascii="宋体" w:hAnsi="宋体"/>
          <w:bCs/>
          <w:color w:val="auto"/>
          <w:sz w:val="28"/>
          <w:szCs w:val="28"/>
          <w:highlight w:val="none"/>
        </w:rPr>
        <w:t>无正当理由放弃中标的，不予退还投标保证金，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40.3中标供应</w:t>
      </w:r>
      <w:r>
        <w:rPr>
          <w:rFonts w:hint="eastAsia" w:ascii="宋体" w:hAnsi="宋体"/>
          <w:bCs/>
          <w:color w:val="auto"/>
          <w:sz w:val="28"/>
          <w:szCs w:val="28"/>
          <w:highlight w:val="none"/>
        </w:rPr>
        <w:t>商出现下列情况之一的，一经查实，将被取消中标资格：</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）属于招标文件规定的虚假投标的；</w:t>
      </w:r>
      <w:r>
        <w:rPr>
          <w:rFonts w:ascii="宋体" w:hAnsi="宋体" w:cs="仿宋"/>
          <w:color w:val="auto"/>
          <w:sz w:val="28"/>
          <w:szCs w:val="28"/>
          <w:highlight w:val="none"/>
        </w:rPr>
        <w:t xml:space="preserve"> </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）向采购单位、采购机构、评审委员会成员行贿或进行其他不正当利益输送的；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）属于恶意低价竞争，投标明显低于合理成本且不能证明其报价合理的；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）属于招标文件规定的无效投标情形，但在评审过程中未被评审委员会发现的；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）属于招标文件规定的串通投标的；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）出现干扰或影响评审客观公正行为的；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）存在其他违法违规行为的；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中标供应商在签订正式合同前，受到禁止参加军队采购活动处罚且本项目在处罚范围内的，取消中标资格。</w:t>
      </w:r>
      <w:r>
        <w:rPr>
          <w:rFonts w:ascii="仿宋_GB2312" w:hAnsi="仿宋"/>
          <w:color w:val="auto"/>
          <w:sz w:val="28"/>
          <w:szCs w:val="28"/>
          <w:highlight w:val="none"/>
        </w:rPr>
        <w:t>中标供应商</w:t>
      </w:r>
      <w:r>
        <w:rPr>
          <w:rFonts w:hint="eastAsia" w:ascii="仿宋_GB2312" w:hAnsi="仿宋"/>
          <w:color w:val="auto"/>
          <w:sz w:val="28"/>
          <w:szCs w:val="28"/>
          <w:highlight w:val="none"/>
        </w:rPr>
        <w:t>被取消或</w:t>
      </w:r>
      <w:r>
        <w:rPr>
          <w:rFonts w:ascii="仿宋_GB2312" w:hAnsi="仿宋"/>
          <w:color w:val="auto"/>
          <w:sz w:val="28"/>
          <w:szCs w:val="28"/>
          <w:highlight w:val="none"/>
        </w:rPr>
        <w:t>放弃中标</w:t>
      </w:r>
      <w:r>
        <w:rPr>
          <w:rFonts w:hint="eastAsia" w:ascii="仿宋_GB2312" w:hAnsi="仿宋"/>
          <w:color w:val="auto"/>
          <w:sz w:val="28"/>
          <w:szCs w:val="28"/>
          <w:highlight w:val="none"/>
        </w:rPr>
        <w:t>资格的，采购单位</w:t>
      </w:r>
      <w:r>
        <w:rPr>
          <w:rFonts w:ascii="仿宋_GB2312" w:hAnsi="仿宋"/>
          <w:color w:val="auto"/>
          <w:sz w:val="28"/>
          <w:szCs w:val="28"/>
          <w:highlight w:val="none"/>
        </w:rPr>
        <w:t>可以按照评审排名结果依次</w:t>
      </w:r>
      <w:r>
        <w:rPr>
          <w:rFonts w:hint="eastAsia" w:ascii="宋体" w:hAnsi="宋体"/>
          <w:color w:val="auto"/>
          <w:sz w:val="28"/>
          <w:szCs w:val="28"/>
          <w:highlight w:val="none"/>
        </w:rPr>
        <w:t>递补</w:t>
      </w:r>
      <w:r>
        <w:rPr>
          <w:rFonts w:ascii="宋体" w:hAnsi="宋体"/>
          <w:color w:val="auto"/>
          <w:sz w:val="28"/>
          <w:szCs w:val="28"/>
          <w:highlight w:val="none"/>
        </w:rPr>
        <w:t>确定中标供应商，</w:t>
      </w:r>
      <w:r>
        <w:rPr>
          <w:rFonts w:hint="eastAsia" w:ascii="宋体" w:hAnsi="宋体"/>
          <w:color w:val="auto"/>
          <w:sz w:val="28"/>
          <w:szCs w:val="28"/>
          <w:highlight w:val="none"/>
        </w:rPr>
        <w:t>但剩余有效投标供应商数量应当达到需要递补投标供应商数量的</w:t>
      </w:r>
      <w:r>
        <w:rPr>
          <w:rFonts w:ascii="宋体" w:hAnsi="宋体"/>
          <w:color w:val="auto"/>
          <w:sz w:val="28"/>
          <w:szCs w:val="28"/>
          <w:highlight w:val="none"/>
        </w:rPr>
        <w:t>2</w:t>
      </w:r>
      <w:r>
        <w:rPr>
          <w:rFonts w:hint="eastAsia" w:ascii="宋体" w:hAnsi="宋体"/>
          <w:color w:val="auto"/>
          <w:sz w:val="28"/>
          <w:szCs w:val="28"/>
          <w:highlight w:val="none"/>
        </w:rPr>
        <w:t>倍，</w:t>
      </w:r>
      <w:r>
        <w:rPr>
          <w:rFonts w:hint="eastAsia" w:ascii="仿宋_GB2312" w:hAnsi="仿宋"/>
          <w:color w:val="auto"/>
          <w:sz w:val="28"/>
          <w:szCs w:val="28"/>
          <w:highlight w:val="none"/>
        </w:rPr>
        <w:t>否则由采购机构</w:t>
      </w:r>
      <w:r>
        <w:rPr>
          <w:rFonts w:ascii="仿宋_GB2312" w:hAnsi="仿宋"/>
          <w:color w:val="auto"/>
          <w:sz w:val="28"/>
          <w:szCs w:val="28"/>
          <w:highlight w:val="none"/>
        </w:rPr>
        <w:t>重新</w:t>
      </w:r>
      <w:r>
        <w:rPr>
          <w:rFonts w:hint="eastAsia" w:ascii="仿宋_GB2312" w:hAnsi="仿宋"/>
          <w:color w:val="auto"/>
          <w:sz w:val="28"/>
          <w:szCs w:val="28"/>
          <w:highlight w:val="none"/>
        </w:rPr>
        <w:t>组织采购</w:t>
      </w:r>
      <w:r>
        <w:rPr>
          <w:rFonts w:ascii="仿宋_GB2312" w:hAnsi="仿宋"/>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31" w:name="_Toc8401"/>
      <w:bookmarkStart w:id="232" w:name="_Toc8490"/>
      <w:bookmarkStart w:id="233" w:name="_Toc12487"/>
      <w:bookmarkStart w:id="234" w:name="_Toc20846"/>
      <w:bookmarkStart w:id="235" w:name="_Toc3206"/>
      <w:r>
        <w:rPr>
          <w:rFonts w:ascii="黑体" w:hAnsi="黑体"/>
          <w:b w:val="0"/>
          <w:color w:val="auto"/>
          <w:highlight w:val="none"/>
        </w:rPr>
        <w:t>41.</w:t>
      </w:r>
      <w:r>
        <w:rPr>
          <w:rFonts w:hint="eastAsia" w:ascii="黑体" w:hAnsi="黑体"/>
          <w:b w:val="0"/>
          <w:color w:val="auto"/>
          <w:highlight w:val="none"/>
        </w:rPr>
        <w:t>中标通知</w:t>
      </w:r>
      <w:bookmarkEnd w:id="231"/>
      <w:bookmarkEnd w:id="232"/>
      <w:bookmarkEnd w:id="233"/>
      <w:bookmarkEnd w:id="234"/>
      <w:bookmarkEnd w:id="23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36" w:name="_Toc132190125"/>
      <w:bookmarkStart w:id="237" w:name="_Toc516"/>
      <w:bookmarkStart w:id="238" w:name="_Toc112317774"/>
      <w:bookmarkStart w:id="239" w:name="_Toc20086"/>
      <w:bookmarkStart w:id="240" w:name="_Toc7207"/>
      <w:bookmarkStart w:id="241" w:name="_Toc8585"/>
      <w:bookmarkStart w:id="242" w:name="_Toc26039"/>
      <w:r>
        <w:rPr>
          <w:rFonts w:hint="eastAsia"/>
          <w:b w:val="0"/>
          <w:color w:val="auto"/>
          <w:highlight w:val="none"/>
        </w:rPr>
        <w:t>七、</w:t>
      </w:r>
      <w:r>
        <w:rPr>
          <w:b w:val="0"/>
          <w:color w:val="auto"/>
          <w:highlight w:val="none"/>
        </w:rPr>
        <w:t>质疑</w:t>
      </w:r>
      <w:r>
        <w:rPr>
          <w:rFonts w:hint="eastAsia"/>
          <w:b w:val="0"/>
          <w:color w:val="auto"/>
          <w:highlight w:val="none"/>
        </w:rPr>
        <w:t>、投诉和投诉复议</w:t>
      </w:r>
      <w:bookmarkEnd w:id="23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招标文件、招标过程、中标结果使自己权益受到损害的，以书面形式向采购机构提出质疑。供应商应当在规定质疑期内一次性提出针对同一采购程序环节的质疑。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color w:val="auto"/>
          <w:sz w:val="28"/>
          <w:szCs w:val="28"/>
          <w:highlight w:val="none"/>
        </w:rPr>
        <w:t>对招标文件的质疑应当在</w:t>
      </w:r>
      <w:r>
        <w:rPr>
          <w:rFonts w:hint="eastAsia" w:ascii="宋体" w:hAnsi="宋体"/>
          <w:bCs/>
          <w:color w:val="auto"/>
          <w:sz w:val="28"/>
          <w:szCs w:val="28"/>
          <w:highlight w:val="none"/>
        </w:rPr>
        <w:t>投标截止时间</w:t>
      </w:r>
      <w:r>
        <w:rPr>
          <w:rFonts w:ascii="宋体" w:hAnsi="宋体"/>
          <w:bCs/>
          <w:color w:val="auto"/>
          <w:sz w:val="28"/>
          <w:szCs w:val="28"/>
          <w:highlight w:val="none"/>
        </w:rPr>
        <w:t>10日前提出。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投标供应商</w:t>
      </w:r>
      <w:r>
        <w:rPr>
          <w:rFonts w:ascii="宋体" w:hAnsi="宋体"/>
          <w:bCs/>
          <w:color w:val="auto"/>
          <w:sz w:val="28"/>
          <w:szCs w:val="28"/>
          <w:highlight w:val="none"/>
        </w:rPr>
        <w:t>对招标过程提出质疑的，应当在各采购程序环节结束之日起3日内提出，但对开标的质疑应当在当场提出，质疑受理单位应当当场</w:t>
      </w:r>
      <w:r>
        <w:rPr>
          <w:rFonts w:hint="eastAsia" w:ascii="宋体" w:hAnsi="宋体"/>
          <w:bCs/>
          <w:color w:val="auto"/>
          <w:sz w:val="28"/>
          <w:szCs w:val="28"/>
          <w:highlight w:val="none"/>
        </w:rPr>
        <w:t>作出答复，并如实记录。</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投标供应商</w:t>
      </w:r>
      <w:r>
        <w:rPr>
          <w:rFonts w:ascii="宋体" w:hAnsi="宋体"/>
          <w:bCs/>
          <w:color w:val="auto"/>
          <w:sz w:val="28"/>
          <w:szCs w:val="28"/>
          <w:highlight w:val="none"/>
        </w:rPr>
        <w:t>对中标结果提出质疑的，应当在中标结果公示期内提出。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投标</w:t>
      </w:r>
      <w:r>
        <w:rPr>
          <w:rFonts w:ascii="宋体" w:hAnsi="宋体"/>
          <w:bCs/>
          <w:color w:val="auto"/>
          <w:sz w:val="28"/>
          <w:szCs w:val="28"/>
          <w:highlight w:val="none"/>
        </w:rPr>
        <w:t>供应商应当按照</w:t>
      </w:r>
      <w:r>
        <w:rPr>
          <w:rFonts w:hint="eastAsia" w:ascii="宋体" w:hAnsi="宋体"/>
          <w:bCs/>
          <w:color w:val="auto"/>
          <w:sz w:val="28"/>
          <w:szCs w:val="28"/>
          <w:highlight w:val="none"/>
        </w:rPr>
        <w:t>招标文件规定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）投标供应商名称、通讯地址、联系人及联系电话；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w:t>
      </w:r>
      <w:r>
        <w:rPr>
          <w:rFonts w:hint="eastAsia" w:ascii="宋体" w:hAnsi="宋体"/>
          <w:bCs/>
          <w:color w:val="auto"/>
          <w:sz w:val="28"/>
          <w:szCs w:val="28"/>
          <w:highlight w:val="none"/>
        </w:rPr>
        <w:t>质疑受理单位拒收质疑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cs="宋体"/>
          <w:bCs/>
          <w:color w:val="auto"/>
          <w:sz w:val="28"/>
          <w:szCs w:val="36"/>
          <w:highlight w:val="none"/>
        </w:rPr>
        <w:t>3）</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投诉人对投诉受理部门的投诉处理决定不服或投诉受理部门逾期未作处理的，可以自收到投诉处理决定书15个工作日内，提出投诉复议申请。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hAnsi="宋体"/>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bCs/>
          <w:color w:val="auto"/>
          <w:kern w:val="0"/>
          <w:sz w:val="28"/>
          <w:szCs w:val="36"/>
          <w:highlight w:val="none"/>
        </w:rPr>
        <w:t>事实依据；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kern w:val="0"/>
          <w:sz w:val="28"/>
          <w:szCs w:val="36"/>
          <w:highlight w:val="none"/>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44.3</w:t>
      </w:r>
      <w:r>
        <w:rPr>
          <w:rFonts w:hint="eastAsia" w:ascii="仿宋_GB2312" w:hAnsi="宋体" w:cs="宋体"/>
          <w:bCs/>
          <w:color w:val="auto"/>
          <w:sz w:val="28"/>
          <w:szCs w:val="36"/>
          <w:highlight w:val="none"/>
        </w:rPr>
        <w:t>投诉复议申请书应当由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color w:val="auto"/>
          <w:highlight w:val="none"/>
        </w:rPr>
      </w:pPr>
      <w:r>
        <w:rPr>
          <w:rFonts w:ascii="宋体" w:hAnsi="宋体"/>
          <w:bCs/>
          <w:color w:val="auto"/>
          <w:sz w:val="28"/>
          <w:szCs w:val="28"/>
          <w:highlight w:val="none"/>
        </w:rPr>
        <w:t>44.4</w:t>
      </w:r>
      <w:r>
        <w:rPr>
          <w:rFonts w:hint="eastAsia" w:ascii="仿宋_GB2312"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【投标供应商须知前附表】</w:t>
      </w:r>
      <w:r>
        <w:rPr>
          <w:rFonts w:hint="eastAsia" w:ascii="仿宋_GB2312"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43" w:name="_Toc132190126"/>
      <w:r>
        <w:rPr>
          <w:rFonts w:hint="eastAsia"/>
          <w:b w:val="0"/>
          <w:color w:val="auto"/>
          <w:highlight w:val="none"/>
        </w:rPr>
        <w:t>八、签订合同</w:t>
      </w:r>
      <w:bookmarkEnd w:id="237"/>
      <w:bookmarkEnd w:id="238"/>
      <w:bookmarkEnd w:id="239"/>
      <w:bookmarkEnd w:id="240"/>
      <w:bookmarkEnd w:id="241"/>
      <w:bookmarkEnd w:id="242"/>
      <w:bookmarkEnd w:id="24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4" w:name="_Toc19884"/>
      <w:bookmarkStart w:id="245" w:name="_Toc29124"/>
      <w:bookmarkStart w:id="246" w:name="_Toc24078"/>
      <w:bookmarkStart w:id="247" w:name="_Toc2454"/>
      <w:bookmarkStart w:id="248" w:name="_Toc21808"/>
      <w:r>
        <w:rPr>
          <w:rFonts w:ascii="黑体" w:hAnsi="黑体"/>
          <w:b w:val="0"/>
          <w:color w:val="auto"/>
          <w:highlight w:val="none"/>
        </w:rPr>
        <w:t>45.</w:t>
      </w:r>
      <w:r>
        <w:rPr>
          <w:rFonts w:hint="eastAsia" w:ascii="黑体" w:hAnsi="黑体"/>
          <w:b w:val="0"/>
          <w:color w:val="auto"/>
          <w:highlight w:val="none"/>
        </w:rPr>
        <w:t>签订合同</w:t>
      </w:r>
      <w:bookmarkEnd w:id="244"/>
      <w:bookmarkEnd w:id="245"/>
      <w:bookmarkEnd w:id="246"/>
      <w:bookmarkEnd w:id="247"/>
      <w:bookmarkEnd w:id="24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45.1中标供应商在采购机构发出《中标通知书》之日起30日内，</w:t>
      </w:r>
      <w:r>
        <w:rPr>
          <w:rFonts w:hint="eastAsia" w:ascii="宋体" w:hAnsi="宋体"/>
          <w:bCs/>
          <w:color w:val="auto"/>
          <w:sz w:val="28"/>
          <w:szCs w:val="28"/>
          <w:highlight w:val="none"/>
        </w:rPr>
        <w:t>依据招标文件、中标供应商投标文件和澄清承诺，与采购单位签订采购合同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45.2采购合同不得对招标文件和中标供应商投标文件作实质性修改</w:t>
      </w:r>
      <w:r>
        <w:rPr>
          <w:rFonts w:hint="eastAsia" w:ascii="宋体" w:hAnsi="宋体"/>
          <w:bCs/>
          <w:color w:val="auto"/>
          <w:sz w:val="28"/>
          <w:szCs w:val="28"/>
          <w:highlight w:val="none"/>
        </w:rPr>
        <w:t>，采购单位不得向中标供应商提出任何不合理要求，作为签订合同的条件。</w:t>
      </w:r>
      <w:r>
        <w:rPr>
          <w:rFonts w:ascii="宋体" w:hAnsi="宋体"/>
          <w:bCs/>
          <w:color w:val="auto"/>
          <w:sz w:val="28"/>
          <w:szCs w:val="28"/>
          <w:highlight w:val="none"/>
        </w:rPr>
        <w:t>招标文件、中标供应商投标文件、补充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w:t>
      </w:r>
      <w:r>
        <w:rPr>
          <w:rFonts w:hint="eastAsia" w:ascii="宋体" w:hAnsi="宋体"/>
          <w:bCs/>
          <w:color w:val="auto"/>
          <w:sz w:val="28"/>
          <w:szCs w:val="28"/>
          <w:highlight w:val="none"/>
        </w:rPr>
        <w:t>签订合同后，中标供应商不得将中标项目整体转包或将项目拆分后分别向他人转包，不得违反招标文件、投标文件和合同约定，擅自将合同分包，一经查实将按有关规定进行严肃处理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45.4未经甲方允许，乙方不得在合同未生效前履行合同相关义务。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49" w:name="_Toc1902"/>
      <w:bookmarkStart w:id="250" w:name="_Toc28366"/>
      <w:bookmarkStart w:id="251" w:name="_Toc132190127"/>
      <w:bookmarkStart w:id="252" w:name="_Toc14630"/>
      <w:bookmarkStart w:id="253" w:name="_Toc112317776"/>
      <w:bookmarkStart w:id="254" w:name="_Toc5523"/>
      <w:bookmarkStart w:id="255" w:name="_Toc24627"/>
      <w:r>
        <w:rPr>
          <w:rFonts w:hint="eastAsia"/>
          <w:b w:val="0"/>
          <w:color w:val="auto"/>
          <w:highlight w:val="none"/>
        </w:rPr>
        <w:t>九、解释权限</w:t>
      </w:r>
      <w:bookmarkEnd w:id="249"/>
      <w:bookmarkEnd w:id="250"/>
      <w:bookmarkEnd w:id="251"/>
      <w:bookmarkEnd w:id="252"/>
      <w:bookmarkEnd w:id="253"/>
      <w:bookmarkEnd w:id="254"/>
      <w:bookmarkEnd w:id="255"/>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6" w:name="_Toc7796"/>
      <w:bookmarkStart w:id="257" w:name="_Toc10805"/>
      <w:bookmarkStart w:id="258" w:name="_Toc10797"/>
      <w:bookmarkStart w:id="259" w:name="_Toc8428"/>
      <w:bookmarkStart w:id="260" w:name="_Toc18827"/>
      <w:r>
        <w:rPr>
          <w:rFonts w:ascii="黑体" w:hAnsi="黑体"/>
          <w:b w:val="0"/>
          <w:color w:val="auto"/>
          <w:highlight w:val="none"/>
        </w:rPr>
        <w:t>46.</w:t>
      </w:r>
      <w:r>
        <w:rPr>
          <w:rFonts w:hint="eastAsia" w:ascii="黑体" w:hAnsi="黑体"/>
          <w:b w:val="0"/>
          <w:color w:val="auto"/>
          <w:highlight w:val="none"/>
        </w:rPr>
        <w:t>解释权限</w:t>
      </w:r>
      <w:bookmarkEnd w:id="256"/>
      <w:bookmarkEnd w:id="257"/>
      <w:bookmarkEnd w:id="258"/>
      <w:bookmarkEnd w:id="259"/>
      <w:bookmarkEnd w:id="260"/>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46.1</w:t>
      </w:r>
      <w:r>
        <w:rPr>
          <w:rFonts w:hint="eastAsia"/>
          <w:bCs/>
          <w:color w:val="auto"/>
          <w:sz w:val="28"/>
          <w:szCs w:val="28"/>
          <w:highlight w:val="none"/>
        </w:rPr>
        <w:t>本招标文件由采购机构负责解释。</w:t>
      </w:r>
    </w:p>
    <w:p>
      <w:pPr>
        <w:pStyle w:val="22"/>
        <w:adjustRightInd w:val="0"/>
        <w:snapToGrid w:val="0"/>
        <w:spacing w:line="560" w:lineRule="exact"/>
        <w:jc w:val="center"/>
        <w:rPr>
          <w:rFonts w:hAnsi="宋体"/>
          <w:bCs/>
          <w:color w:val="auto"/>
          <w:sz w:val="32"/>
          <w:szCs w:val="32"/>
          <w:highlight w:val="none"/>
        </w:rPr>
      </w:pPr>
    </w:p>
    <w:p>
      <w:pPr>
        <w:widowControl/>
        <w:jc w:val="left"/>
        <w:rPr>
          <w:rFonts w:ascii="黑体" w:hAnsi="黑体" w:eastAsia="黑体" w:cs="黑体"/>
          <w:bCs/>
          <w:color w:val="auto"/>
          <w:sz w:val="28"/>
          <w:szCs w:val="28"/>
          <w:highlight w:val="none"/>
        </w:rPr>
      </w:pPr>
      <w:bookmarkStart w:id="261" w:name="_Toc7524"/>
      <w:bookmarkStart w:id="262" w:name="_Toc19169"/>
      <w:bookmarkStart w:id="263" w:name="_Toc11888"/>
      <w:bookmarkStart w:id="264" w:name="_Toc21065"/>
      <w:bookmarkStart w:id="265" w:name="_Toc19792"/>
      <w:r>
        <w:rPr>
          <w:rFonts w:ascii="黑体" w:hAnsi="黑体" w:cs="黑体"/>
          <w:b/>
          <w:color w:val="auto"/>
          <w:sz w:val="28"/>
          <w:szCs w:val="28"/>
          <w:highlight w:val="none"/>
        </w:rPr>
        <w:br w:type="page"/>
      </w:r>
    </w:p>
    <w:p>
      <w:pPr>
        <w:pStyle w:val="5"/>
        <w:spacing w:before="120" w:beforeLines="50" w:after="120" w:afterLines="50" w:line="560" w:lineRule="exact"/>
        <w:rPr>
          <w:rFonts w:ascii="黑体" w:hAnsi="黑体" w:cs="黑体"/>
          <w:b w:val="0"/>
          <w:color w:val="auto"/>
          <w:sz w:val="28"/>
          <w:szCs w:val="28"/>
          <w:highlight w:val="none"/>
        </w:rPr>
      </w:pPr>
      <w:bookmarkStart w:id="266" w:name="_Toc132190128"/>
      <w:r>
        <w:rPr>
          <w:rFonts w:hint="eastAsia" w:ascii="黑体" w:hAnsi="黑体" w:cs="黑体"/>
          <w:b w:val="0"/>
          <w:color w:val="auto"/>
          <w:sz w:val="28"/>
          <w:szCs w:val="28"/>
          <w:highlight w:val="none"/>
        </w:rPr>
        <w:t>附页1 招标文件更正确认函</w:t>
      </w:r>
      <w:bookmarkEnd w:id="261"/>
      <w:bookmarkEnd w:id="262"/>
      <w:bookmarkEnd w:id="263"/>
      <w:bookmarkEnd w:id="264"/>
      <w:bookmarkEnd w:id="265"/>
      <w:bookmarkEnd w:id="266"/>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招标文件更正确认函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）的招标文件更正信息已收悉。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法定代表人（签字或盖章）或授权代表（签字）：   </w:t>
      </w:r>
    </w:p>
    <w:p>
      <w:pPr>
        <w:spacing w:line="560" w:lineRule="exact"/>
        <w:ind w:firstLine="6160" w:firstLineChars="22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仿宋_GB2312" w:cs="宋体"/>
          <w:bCs/>
          <w:color w:val="auto"/>
          <w:szCs w:val="32"/>
          <w:highlight w:val="none"/>
        </w:rPr>
      </w:pP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b w:val="0"/>
          <w:color w:val="auto"/>
          <w:highlight w:val="none"/>
        </w:rPr>
        <w:br w:type="page"/>
      </w:r>
      <w:bookmarkStart w:id="267" w:name="_Toc20737"/>
      <w:bookmarkStart w:id="268" w:name="_Toc9924"/>
      <w:bookmarkStart w:id="269" w:name="_Toc21635"/>
      <w:bookmarkStart w:id="270" w:name="_Toc132190129"/>
      <w:bookmarkStart w:id="271" w:name="_Toc1231"/>
      <w:bookmarkStart w:id="272" w:name="_Toc9904"/>
      <w:r>
        <w:rPr>
          <w:rFonts w:hint="eastAsia" w:ascii="黑体" w:hAnsi="黑体" w:cs="黑体"/>
          <w:b w:val="0"/>
          <w:color w:val="auto"/>
          <w:sz w:val="28"/>
          <w:szCs w:val="28"/>
          <w:highlight w:val="none"/>
        </w:rPr>
        <w:t>附页2 质疑函（格式）</w:t>
      </w:r>
      <w:bookmarkEnd w:id="267"/>
      <w:bookmarkEnd w:id="268"/>
      <w:bookmarkEnd w:id="269"/>
      <w:bookmarkEnd w:id="270"/>
      <w:bookmarkEnd w:id="271"/>
      <w:bookmarkEnd w:id="27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r>
        <w:rPr>
          <w:rFonts w:hint="eastAsia" w:ascii="宋体" w:hAnsi="宋体"/>
          <w:color w:val="auto"/>
          <w:sz w:val="28"/>
          <w:szCs w:val="28"/>
          <w:highlight w:val="none"/>
          <w:u w:val="dotted"/>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038" w:firstLineChars="1085"/>
        <w:rPr>
          <w:rFonts w:ascii="宋体" w:hAnsi="宋体"/>
          <w:color w:val="auto"/>
          <w:kern w:val="0"/>
          <w:sz w:val="28"/>
          <w:szCs w:val="28"/>
          <w:highlight w:val="none"/>
        </w:rPr>
      </w:pPr>
      <w:r>
        <w:rPr>
          <w:rFonts w:hint="eastAsia" w:ascii="宋体" w:hAnsi="宋体"/>
          <w:color w:val="auto"/>
          <w:kern w:val="0"/>
          <w:sz w:val="28"/>
          <w:szCs w:val="28"/>
          <w:highlight w:val="none"/>
        </w:rPr>
        <w:t xml:space="preserve"> 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rFonts w:hint="eastAsia" w:ascii="宋体" w:hAnsi="宋体" w:cs="宋体"/>
          <w:b w:val="0"/>
          <w:color w:val="auto"/>
          <w:sz w:val="28"/>
          <w:szCs w:val="28"/>
          <w:highlight w:val="none"/>
        </w:rPr>
        <w:br w:type="page"/>
      </w:r>
      <w:bookmarkStart w:id="273" w:name="_Toc6068"/>
      <w:bookmarkStart w:id="274" w:name="_Toc30926"/>
      <w:bookmarkStart w:id="275" w:name="_Toc6175"/>
      <w:bookmarkStart w:id="276" w:name="_Toc132190130"/>
      <w:bookmarkStart w:id="277" w:name="_Toc28425"/>
      <w:bookmarkStart w:id="278" w:name="_Toc3994"/>
      <w:r>
        <w:rPr>
          <w:rFonts w:hint="eastAsia" w:ascii="黑体" w:hAnsi="黑体" w:cs="黑体"/>
          <w:b w:val="0"/>
          <w:color w:val="auto"/>
          <w:sz w:val="28"/>
          <w:szCs w:val="28"/>
          <w:highlight w:val="none"/>
        </w:rPr>
        <w:t>附页3 投诉书（格式）</w:t>
      </w:r>
      <w:bookmarkEnd w:id="273"/>
      <w:bookmarkEnd w:id="274"/>
      <w:bookmarkEnd w:id="275"/>
      <w:bookmarkEnd w:id="276"/>
      <w:bookmarkEnd w:id="277"/>
      <w:bookmarkEnd w:id="278"/>
    </w:p>
    <w:p>
      <w:pPr>
        <w:spacing w:before="120" w:beforeLines="50" w:after="120" w:afterLines="50" w:line="560" w:lineRule="exact"/>
        <w:ind w:firstLine="640" w:firstLineChars="200"/>
        <w:jc w:val="right"/>
        <w:rPr>
          <w:rFonts w:ascii="黑体" w:eastAsia="黑体" w:cs="宋体"/>
          <w:bCs/>
          <w:color w:val="auto"/>
          <w:sz w:val="36"/>
          <w:szCs w:val="36"/>
          <w:highlight w:val="none"/>
        </w:rPr>
      </w:pPr>
      <w:r>
        <w:rPr>
          <w:rFonts w:hint="eastAsia" w:ascii="黑体" w:eastAsia="黑体" w:cs="宋体"/>
          <w:bCs/>
          <w:color w:val="auto"/>
          <w:sz w:val="32"/>
          <w:szCs w:val="32"/>
          <w:highlight w:val="none"/>
        </w:rPr>
        <w:t>正</w:t>
      </w:r>
      <w:r>
        <w:rPr>
          <w:rFonts w:ascii="黑体" w:eastAsia="黑体" w:cs="宋体"/>
          <w:bCs/>
          <w:color w:val="auto"/>
          <w:sz w:val="32"/>
          <w:szCs w:val="32"/>
          <w:highlight w:val="none"/>
        </w:rPr>
        <w:t xml:space="preserve">  </w:t>
      </w:r>
      <w:r>
        <w:rPr>
          <w:rFonts w:hint="eastAsia" w:ascii="黑体" w:eastAsia="黑体" w:cs="宋体"/>
          <w:bCs/>
          <w:color w:val="auto"/>
          <w:sz w:val="32"/>
          <w:szCs w:val="32"/>
          <w:highlight w:val="none"/>
        </w:rPr>
        <w:t>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2976" w:firstLineChars="1063"/>
        <w:rPr>
          <w:rFonts w:ascii="宋体" w:hAnsi="宋体"/>
          <w:color w:val="auto"/>
          <w:kern w:val="0"/>
          <w:sz w:val="28"/>
          <w:szCs w:val="28"/>
          <w:highlight w:val="none"/>
        </w:rPr>
      </w:pPr>
      <w:r>
        <w:rPr>
          <w:rFonts w:hint="eastAsia" w:ascii="宋体" w:hAnsi="宋体"/>
          <w:color w:val="auto"/>
          <w:kern w:val="0"/>
          <w:sz w:val="28"/>
          <w:szCs w:val="28"/>
          <w:highlight w:val="none"/>
        </w:rPr>
        <w:t xml:space="preserve">       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1960" w:firstLineChars="700"/>
        <w:rPr>
          <w:rFonts w:ascii="宋体" w:hAnsi="宋体" w:cs="宋体"/>
          <w:bCs/>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22"/>
        <w:adjustRightInd w:val="0"/>
        <w:snapToGrid w:val="0"/>
        <w:spacing w:line="560" w:lineRule="exact"/>
        <w:jc w:val="center"/>
        <w:rPr>
          <w:rFonts w:hAnsi="宋体"/>
          <w:bCs/>
          <w:color w:val="auto"/>
          <w:sz w:val="32"/>
          <w:szCs w:val="32"/>
          <w:highlight w:val="none"/>
        </w:rPr>
        <w:sectPr>
          <w:headerReference r:id="rId4" w:type="default"/>
          <w:footerReference r:id="rId5" w:type="default"/>
          <w:pgSz w:w="11906" w:h="16838"/>
          <w:pgMar w:top="1418" w:right="1134" w:bottom="1418" w:left="1418" w:header="850" w:footer="851" w:gutter="0"/>
          <w:pgNumType w:start="1"/>
          <w:cols w:space="720" w:num="1"/>
        </w:sectPr>
      </w:pPr>
    </w:p>
    <w:p>
      <w:pPr>
        <w:pStyle w:val="4"/>
        <w:keepNext w:val="0"/>
        <w:keepLines w:val="0"/>
        <w:adjustRightInd w:val="0"/>
        <w:snapToGrid w:val="0"/>
        <w:spacing w:line="560" w:lineRule="exact"/>
        <w:jc w:val="center"/>
        <w:rPr>
          <w:b w:val="0"/>
          <w:color w:val="auto"/>
          <w:szCs w:val="44"/>
          <w:highlight w:val="none"/>
          <w:lang w:val="zh-CN"/>
        </w:rPr>
      </w:pPr>
      <w:bookmarkStart w:id="279" w:name="_Toc12779"/>
      <w:bookmarkStart w:id="280" w:name="_Toc28440"/>
      <w:bookmarkStart w:id="281" w:name="_Toc774"/>
      <w:bookmarkStart w:id="282" w:name="_Toc14712"/>
      <w:bookmarkStart w:id="283" w:name="_Toc112317783"/>
      <w:bookmarkStart w:id="284" w:name="_Toc13851"/>
      <w:bookmarkStart w:id="285" w:name="_Toc132190131"/>
      <w:r>
        <w:rPr>
          <w:rFonts w:hint="eastAsia"/>
          <w:b w:val="0"/>
          <w:color w:val="auto"/>
          <w:szCs w:val="44"/>
          <w:highlight w:val="none"/>
          <w:lang w:val="zh-CN"/>
        </w:rPr>
        <w:t>第二章</w:t>
      </w:r>
      <w:r>
        <w:rPr>
          <w:b w:val="0"/>
          <w:color w:val="auto"/>
          <w:szCs w:val="44"/>
          <w:highlight w:val="none"/>
          <w:lang w:val="zh-CN"/>
        </w:rPr>
        <w:t xml:space="preserve"> </w:t>
      </w:r>
      <w:bookmarkEnd w:id="279"/>
      <w:bookmarkEnd w:id="280"/>
      <w:bookmarkEnd w:id="281"/>
      <w:bookmarkEnd w:id="282"/>
      <w:bookmarkEnd w:id="283"/>
      <w:bookmarkEnd w:id="284"/>
      <w:r>
        <w:rPr>
          <w:rFonts w:hint="eastAsia"/>
          <w:b w:val="0"/>
          <w:color w:val="auto"/>
          <w:szCs w:val="44"/>
          <w:highlight w:val="none"/>
          <w:lang w:val="zh-CN"/>
        </w:rPr>
        <w:t>合同通用条款</w:t>
      </w:r>
      <w:bookmarkEnd w:id="285"/>
    </w:p>
    <w:p>
      <w:pPr>
        <w:pStyle w:val="5"/>
        <w:spacing w:before="0" w:after="0" w:line="560" w:lineRule="exact"/>
        <w:ind w:firstLine="560" w:firstLineChars="200"/>
        <w:rPr>
          <w:rFonts w:ascii="黑体" w:hAnsi="黑体" w:cs="黑体"/>
          <w:b w:val="0"/>
          <w:color w:val="auto"/>
          <w:sz w:val="28"/>
          <w:szCs w:val="28"/>
          <w:highlight w:val="none"/>
        </w:rPr>
      </w:pPr>
      <w:bookmarkStart w:id="286" w:name="_Toc132190132"/>
      <w:bookmarkStart w:id="287" w:name="_Toc18663"/>
      <w:bookmarkStart w:id="288" w:name="_Toc25781"/>
      <w:bookmarkStart w:id="289" w:name="_Toc32565"/>
      <w:bookmarkStart w:id="290" w:name="_Toc29315"/>
      <w:bookmarkStart w:id="291" w:name="_Toc6390"/>
      <w:r>
        <w:rPr>
          <w:rFonts w:hint="eastAsia" w:ascii="黑体" w:hAnsi="黑体" w:cs="黑体"/>
          <w:b w:val="0"/>
          <w:color w:val="auto"/>
          <w:sz w:val="28"/>
          <w:szCs w:val="28"/>
          <w:highlight w:val="none"/>
        </w:rPr>
        <w:t>一、定义</w:t>
      </w:r>
      <w:bookmarkEnd w:id="286"/>
      <w:bookmarkEnd w:id="287"/>
      <w:bookmarkEnd w:id="288"/>
      <w:bookmarkEnd w:id="289"/>
      <w:bookmarkEnd w:id="290"/>
      <w:bookmarkEnd w:id="291"/>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“乙方”是指中标后提供物资和相关服务的供应商。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292" w:name="_Toc121216141"/>
      <w:bookmarkStart w:id="293" w:name="_Toc132190133"/>
      <w:bookmarkStart w:id="294" w:name="_Toc26599"/>
      <w:bookmarkStart w:id="295" w:name="_Toc15092"/>
      <w:bookmarkStart w:id="296" w:name="_Toc20101"/>
      <w:bookmarkStart w:id="297" w:name="_Toc20977"/>
      <w:bookmarkStart w:id="298" w:name="_Toc1813"/>
      <w:bookmarkStart w:id="299" w:name="_Toc1994"/>
      <w:r>
        <w:rPr>
          <w:rFonts w:hint="eastAsia" w:ascii="黑体" w:hAnsi="黑体" w:cs="黑体"/>
          <w:b w:val="0"/>
          <w:color w:val="auto"/>
          <w:sz w:val="28"/>
          <w:szCs w:val="28"/>
          <w:highlight w:val="none"/>
        </w:rPr>
        <w:t>二、物资编目编码、打码贴签要求</w:t>
      </w:r>
      <w:bookmarkEnd w:id="292"/>
      <w:bookmarkEnd w:id="293"/>
      <w:bookmarkEnd w:id="294"/>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w:t>
      </w:r>
      <w:r>
        <w:rPr>
          <w:rFonts w:hint="eastAsia" w:ascii="宋体" w:hAnsi="宋体"/>
          <w:bCs/>
          <w:color w:val="auto"/>
          <w:sz w:val="28"/>
          <w:szCs w:val="28"/>
          <w:highlight w:val="none"/>
        </w:rPr>
        <w:t>采购网互联网</w:t>
      </w:r>
      <w:r>
        <w:rPr>
          <w:rFonts w:hint="eastAsia" w:asciiTheme="minorEastAsia" w:hAnsiTheme="minorEastAsia" w:eastAsiaTheme="minorEastAsia"/>
          <w:bCs/>
          <w:color w:val="auto"/>
          <w:sz w:val="28"/>
          <w:szCs w:val="28"/>
          <w:highlight w:val="none"/>
        </w:rPr>
        <w:t>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下载安装编目用户终端软件。按要求录入采购物资数据，导入技术规范、产品说明书</w:t>
      </w:r>
      <w:r>
        <w:rPr>
          <w:rFonts w:hint="eastAsia"/>
          <w:bCs/>
          <w:color w:val="auto"/>
          <w:sz w:val="28"/>
          <w:szCs w:val="28"/>
          <w:highlight w:val="none"/>
        </w:rPr>
        <w:t>、图片等便于物资识别的电子文件资料，生成编目申请数据包，提交甲方或承担军队资产编目编码职能的单位。</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2.</w:t>
      </w:r>
      <w:r>
        <w:rPr>
          <w:rFonts w:hint="eastAsia" w:ascii="宋体" w:hAnsi="宋体" w:cs="宋体"/>
          <w:bCs/>
          <w:color w:val="auto"/>
          <w:sz w:val="28"/>
          <w:szCs w:val="28"/>
          <w:highlight w:val="none"/>
        </w:rPr>
        <w:t>乙方应当配合甲方或承担军队资产编目编码职能的单位，补充完善编目数据。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560" w:firstLineChars="200"/>
        <w:rPr>
          <w:rFonts w:ascii="黑体" w:hAnsi="黑体" w:eastAsia="黑体"/>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bCs/>
          <w:color w:val="auto"/>
          <w:sz w:val="28"/>
          <w:szCs w:val="28"/>
          <w:highlight w:val="none"/>
        </w:rPr>
        <w:t>7</w:t>
      </w:r>
      <w:r>
        <w:rPr>
          <w:rFonts w:hint="eastAsia"/>
          <w:bCs/>
          <w:color w:val="auto"/>
          <w:sz w:val="28"/>
          <w:szCs w:val="28"/>
          <w:highlight w:val="none"/>
        </w:rPr>
        <w:t>日内完成整改，重新协调甲方组织验收。</w:t>
      </w:r>
      <w:bookmarkEnd w:id="295"/>
      <w:bookmarkEnd w:id="296"/>
      <w:bookmarkEnd w:id="297"/>
      <w:bookmarkEnd w:id="298"/>
      <w:bookmarkEnd w:id="299"/>
    </w:p>
    <w:p>
      <w:pPr>
        <w:pStyle w:val="5"/>
        <w:spacing w:before="0" w:after="0" w:line="560" w:lineRule="exact"/>
        <w:ind w:firstLine="560" w:firstLineChars="200"/>
        <w:rPr>
          <w:rFonts w:ascii="黑体" w:hAnsi="黑体" w:cs="黑体"/>
          <w:b w:val="0"/>
          <w:color w:val="auto"/>
          <w:sz w:val="28"/>
          <w:szCs w:val="28"/>
          <w:highlight w:val="none"/>
        </w:rPr>
      </w:pPr>
      <w:bookmarkStart w:id="300" w:name="_Toc32427"/>
      <w:bookmarkStart w:id="301" w:name="_Toc17522"/>
      <w:bookmarkStart w:id="302" w:name="_Toc132190134"/>
      <w:bookmarkStart w:id="303" w:name="_Toc32430"/>
      <w:bookmarkStart w:id="304" w:name="_Toc2446"/>
      <w:bookmarkStart w:id="305" w:name="_Toc14081"/>
      <w:r>
        <w:rPr>
          <w:rFonts w:hint="eastAsia" w:ascii="黑体" w:hAnsi="黑体" w:cs="黑体"/>
          <w:b w:val="0"/>
          <w:color w:val="auto"/>
          <w:sz w:val="28"/>
          <w:szCs w:val="28"/>
          <w:highlight w:val="none"/>
        </w:rPr>
        <w:t>三、履约验收</w:t>
      </w:r>
      <w:bookmarkEnd w:id="300"/>
      <w:bookmarkEnd w:id="301"/>
      <w:bookmarkEnd w:id="302"/>
      <w:bookmarkEnd w:id="303"/>
      <w:bookmarkEnd w:id="304"/>
      <w:bookmarkEnd w:id="305"/>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306" w:name="_Toc121216143"/>
      <w:bookmarkStart w:id="307" w:name="_Toc132190135"/>
      <w:bookmarkStart w:id="308" w:name="_Toc28764"/>
      <w:bookmarkStart w:id="309" w:name="_Toc30125"/>
      <w:bookmarkStart w:id="310" w:name="_Toc29442"/>
      <w:bookmarkStart w:id="311" w:name="_Toc12135"/>
      <w:bookmarkStart w:id="312" w:name="_Toc7017"/>
      <w:r>
        <w:rPr>
          <w:rFonts w:hint="eastAsia" w:ascii="黑体" w:hAnsi="黑体" w:cs="黑体"/>
          <w:b w:val="0"/>
          <w:color w:val="auto"/>
          <w:sz w:val="28"/>
          <w:szCs w:val="28"/>
          <w:highlight w:val="none"/>
        </w:rPr>
        <w:t>四、保密条款</w:t>
      </w:r>
      <w:bookmarkEnd w:id="306"/>
      <w:bookmarkEnd w:id="307"/>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313" w:name="_Toc132190136"/>
      <w:bookmarkStart w:id="314" w:name="_Toc121216144"/>
      <w:r>
        <w:rPr>
          <w:rFonts w:hint="eastAsia" w:ascii="黑体" w:hAnsi="黑体" w:cs="黑体"/>
          <w:b w:val="0"/>
          <w:color w:val="auto"/>
          <w:sz w:val="28"/>
          <w:szCs w:val="28"/>
          <w:highlight w:val="none"/>
        </w:rPr>
        <w:t>五、知识产权</w:t>
      </w:r>
      <w:bookmarkEnd w:id="313"/>
      <w:bookmarkEnd w:id="31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bookmarkEnd w:id="308"/>
      <w:bookmarkEnd w:id="309"/>
      <w:bookmarkEnd w:id="310"/>
      <w:bookmarkEnd w:id="311"/>
      <w:bookmarkEnd w:id="312"/>
    </w:p>
    <w:p>
      <w:pPr>
        <w:pStyle w:val="5"/>
        <w:spacing w:before="0" w:after="0" w:line="560" w:lineRule="exact"/>
        <w:ind w:firstLine="560" w:firstLineChars="200"/>
        <w:rPr>
          <w:rFonts w:ascii="黑体" w:hAnsi="黑体" w:cs="黑体"/>
          <w:b w:val="0"/>
          <w:color w:val="auto"/>
          <w:sz w:val="28"/>
          <w:szCs w:val="28"/>
          <w:highlight w:val="none"/>
        </w:rPr>
      </w:pPr>
      <w:bookmarkStart w:id="315" w:name="_Toc19371"/>
      <w:bookmarkStart w:id="316" w:name="_Toc11458"/>
      <w:bookmarkStart w:id="317" w:name="_Toc32592"/>
      <w:bookmarkStart w:id="318" w:name="_Toc29139"/>
      <w:bookmarkStart w:id="319" w:name="_Toc13927"/>
      <w:bookmarkStart w:id="320" w:name="_Toc132190137"/>
      <w:bookmarkStart w:id="321" w:name="_Toc11512"/>
      <w:bookmarkStart w:id="322" w:name="_Toc83738986"/>
      <w:bookmarkStart w:id="323" w:name="_Toc21499"/>
      <w:r>
        <w:rPr>
          <w:rFonts w:hint="eastAsia" w:ascii="黑体" w:hAnsi="黑体" w:cs="黑体"/>
          <w:b w:val="0"/>
          <w:color w:val="auto"/>
          <w:sz w:val="28"/>
          <w:szCs w:val="28"/>
          <w:highlight w:val="none"/>
        </w:rPr>
        <w:t>六、合同的变更和解除</w:t>
      </w:r>
      <w:bookmarkEnd w:id="315"/>
      <w:bookmarkEnd w:id="316"/>
      <w:bookmarkEnd w:id="317"/>
      <w:bookmarkEnd w:id="318"/>
      <w:bookmarkEnd w:id="319"/>
      <w:bookmarkEnd w:id="320"/>
      <w:bookmarkEnd w:id="321"/>
      <w:bookmarkEnd w:id="322"/>
      <w:bookmarkEnd w:id="32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324" w:name="_Toc31863"/>
      <w:bookmarkStart w:id="325" w:name="_Toc19429"/>
      <w:bookmarkStart w:id="326" w:name="_Toc17906"/>
      <w:bookmarkStart w:id="327" w:name="_Toc22397"/>
      <w:bookmarkStart w:id="328" w:name="_Toc2228"/>
      <w:bookmarkStart w:id="329" w:name="_Toc376"/>
      <w:bookmarkStart w:id="330" w:name="_Toc20279"/>
      <w:bookmarkStart w:id="331" w:name="_Toc132190138"/>
      <w:bookmarkStart w:id="332" w:name="_Toc83738987"/>
      <w:r>
        <w:rPr>
          <w:rFonts w:hint="eastAsia" w:ascii="黑体" w:hAnsi="黑体" w:cs="黑体"/>
          <w:b w:val="0"/>
          <w:color w:val="auto"/>
          <w:sz w:val="28"/>
          <w:szCs w:val="28"/>
          <w:highlight w:val="none"/>
        </w:rPr>
        <w:t>七、履约监督</w:t>
      </w:r>
      <w:bookmarkEnd w:id="324"/>
      <w:bookmarkEnd w:id="325"/>
      <w:bookmarkEnd w:id="326"/>
      <w:bookmarkEnd w:id="327"/>
      <w:bookmarkEnd w:id="328"/>
      <w:bookmarkEnd w:id="329"/>
      <w:bookmarkEnd w:id="330"/>
      <w:bookmarkEnd w:id="331"/>
      <w:bookmarkEnd w:id="332"/>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333" w:name="_Toc132190139"/>
      <w:bookmarkStart w:id="334" w:name="_Toc83738988"/>
      <w:bookmarkStart w:id="335" w:name="_Toc32282"/>
      <w:bookmarkStart w:id="336" w:name="_Toc31717"/>
      <w:bookmarkStart w:id="337" w:name="_Toc31247"/>
      <w:bookmarkStart w:id="338" w:name="_Toc10581"/>
      <w:bookmarkStart w:id="339" w:name="_Toc16941"/>
      <w:bookmarkStart w:id="340" w:name="_Toc30656"/>
      <w:bookmarkStart w:id="341" w:name="_Toc25769"/>
      <w:r>
        <w:rPr>
          <w:rFonts w:hint="eastAsia" w:ascii="黑体" w:hAnsi="黑体" w:cs="黑体"/>
          <w:b w:val="0"/>
          <w:color w:val="auto"/>
          <w:sz w:val="28"/>
          <w:szCs w:val="28"/>
          <w:highlight w:val="none"/>
        </w:rPr>
        <w:t>八、转包与分包</w:t>
      </w:r>
      <w:bookmarkEnd w:id="333"/>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342" w:name="_Toc132190140"/>
      <w:r>
        <w:rPr>
          <w:rFonts w:hint="eastAsia" w:ascii="黑体" w:hAnsi="黑体" w:cs="黑体"/>
          <w:b w:val="0"/>
          <w:color w:val="auto"/>
          <w:sz w:val="28"/>
          <w:szCs w:val="28"/>
          <w:highlight w:val="none"/>
        </w:rPr>
        <w:t>九、违约责任</w:t>
      </w:r>
      <w:bookmarkEnd w:id="334"/>
      <w:bookmarkEnd w:id="335"/>
      <w:bookmarkEnd w:id="336"/>
      <w:bookmarkEnd w:id="337"/>
      <w:bookmarkEnd w:id="338"/>
      <w:bookmarkEnd w:id="339"/>
      <w:bookmarkEnd w:id="340"/>
      <w:bookmarkEnd w:id="341"/>
      <w:bookmarkEnd w:id="342"/>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（一）乙方未经甲方同意而延期交货时，应当向甲方偿付违约金，违约金每天按违约物资金额的1‰计算，违约金最高限额为违约总金额的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60" w:firstLineChars="200"/>
        <w:rPr>
          <w:rFonts w:ascii="仿宋_GB2312"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343" w:name="_Toc22345"/>
      <w:bookmarkStart w:id="344" w:name="_Toc8142"/>
      <w:bookmarkStart w:id="345" w:name="_Toc25283"/>
      <w:bookmarkStart w:id="346" w:name="_Toc10383"/>
      <w:bookmarkStart w:id="347" w:name="_Toc132190141"/>
      <w:bookmarkStart w:id="348" w:name="_Toc7908"/>
      <w:bookmarkStart w:id="349" w:name="_Toc4921"/>
      <w:bookmarkStart w:id="350" w:name="_Toc83738989"/>
      <w:bookmarkStart w:id="351" w:name="_Toc6489"/>
      <w:r>
        <w:rPr>
          <w:rFonts w:hint="eastAsia" w:ascii="黑体" w:hAnsi="黑体" w:cs="黑体"/>
          <w:b w:val="0"/>
          <w:color w:val="auto"/>
          <w:sz w:val="28"/>
          <w:szCs w:val="28"/>
          <w:highlight w:val="none"/>
        </w:rPr>
        <w:t>十、争议解决方式</w:t>
      </w:r>
      <w:bookmarkEnd w:id="343"/>
      <w:bookmarkEnd w:id="344"/>
      <w:bookmarkEnd w:id="345"/>
      <w:bookmarkEnd w:id="346"/>
      <w:bookmarkEnd w:id="347"/>
      <w:bookmarkEnd w:id="348"/>
      <w:bookmarkEnd w:id="349"/>
      <w:bookmarkEnd w:id="350"/>
      <w:bookmarkEnd w:id="351"/>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（二）协商不一致的，甲方或乙方向采购机构负责合同履约的部门反映情况，请求第一次调解处理；第一次调解不成功的，向军级单位采购管理部门或同等权限的采购管理部门请求第二次调解处理。</w:t>
      </w:r>
    </w:p>
    <w:p>
      <w:pPr>
        <w:widowControl/>
        <w:spacing w:line="560" w:lineRule="exact"/>
        <w:ind w:firstLine="560" w:firstLineChars="200"/>
        <w:jc w:val="left"/>
        <w:rPr>
          <w:bCs/>
          <w:color w:val="auto"/>
          <w:sz w:val="44"/>
          <w:szCs w:val="44"/>
          <w:highlight w:val="none"/>
        </w:rPr>
        <w:sectPr>
          <w:headerReference r:id="rId6" w:type="default"/>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52"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353" w:name="_Toc31933"/>
      <w:bookmarkStart w:id="354" w:name="_Toc27423"/>
      <w:bookmarkStart w:id="355" w:name="_Toc132190142"/>
      <w:bookmarkStart w:id="356" w:name="_Toc5009"/>
      <w:bookmarkStart w:id="357" w:name="_Toc10691"/>
      <w:bookmarkStart w:id="358" w:name="_Toc30778"/>
      <w:r>
        <w:rPr>
          <w:rFonts w:hint="eastAsia"/>
          <w:b w:val="0"/>
          <w:color w:val="auto"/>
          <w:szCs w:val="44"/>
          <w:highlight w:val="none"/>
          <w:lang w:val="zh-CN"/>
        </w:rPr>
        <w:t>第三章</w:t>
      </w:r>
      <w:r>
        <w:rPr>
          <w:b w:val="0"/>
          <w:color w:val="auto"/>
          <w:szCs w:val="44"/>
          <w:highlight w:val="none"/>
          <w:lang w:val="zh-CN"/>
        </w:rPr>
        <w:t xml:space="preserve"> </w:t>
      </w:r>
      <w:bookmarkStart w:id="359" w:name="_Hlk112353117"/>
      <w:r>
        <w:rPr>
          <w:rFonts w:hint="eastAsia"/>
          <w:b w:val="0"/>
          <w:color w:val="auto"/>
          <w:szCs w:val="44"/>
          <w:highlight w:val="none"/>
          <w:lang w:val="zh-CN"/>
        </w:rPr>
        <w:t>投标文件内容及格式</w:t>
      </w:r>
      <w:bookmarkEnd w:id="352"/>
      <w:bookmarkEnd w:id="353"/>
      <w:bookmarkEnd w:id="354"/>
      <w:bookmarkEnd w:id="355"/>
      <w:bookmarkEnd w:id="356"/>
      <w:bookmarkEnd w:id="357"/>
      <w:bookmarkEnd w:id="358"/>
      <w:bookmarkEnd w:id="359"/>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投标供应商制作投标文件时，应当对照《资格性审查表》《符合性审查表》《商务评审标准表》《技术评审标准表》提供尽可能详细的证明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color w:val="auto"/>
          <w:sz w:val="28"/>
          <w:szCs w:val="28"/>
          <w:highlight w:val="none"/>
        </w:rPr>
      </w:pPr>
      <w:r>
        <w:rPr>
          <w:rFonts w:hint="eastAsia"/>
          <w:bCs/>
          <w:i/>
          <w:color w:val="auto"/>
          <w:sz w:val="28"/>
          <w:szCs w:val="28"/>
          <w:highlight w:val="none"/>
        </w:rPr>
        <w:t>采购机构可以结合邀请招标项目具体特点和实际需要，对本章内容进行补充或细化；本章内容不适用的，采购机构可以删除或调整。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采购机构对本章内容进行调整的，应当将调整后的内容与专用文件一并发放投标供应商。</w:t>
      </w: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60" w:name="_Toc81213694"/>
      <w:bookmarkStart w:id="361" w:name="_Toc132190143"/>
      <w:bookmarkStart w:id="362" w:name="_Toc3800"/>
      <w:bookmarkStart w:id="363" w:name="_Toc130887486"/>
      <w:bookmarkStart w:id="364" w:name="_Toc31021"/>
      <w:bookmarkStart w:id="365" w:name="_Toc18151"/>
      <w:bookmarkStart w:id="366" w:name="_Toc8608"/>
      <w:r>
        <w:rPr>
          <w:rFonts w:hint="eastAsia" w:ascii="方正小标宋简体" w:eastAsia="方正小标宋简体"/>
          <w:b w:val="0"/>
          <w:color w:val="auto"/>
          <w:sz w:val="52"/>
          <w:szCs w:val="52"/>
          <w:highlight w:val="none"/>
        </w:rPr>
        <w:t>一、</w:t>
      </w:r>
      <w:bookmarkEnd w:id="360"/>
      <w:r>
        <w:rPr>
          <w:rFonts w:hint="eastAsia" w:ascii="方正小标宋简体" w:eastAsia="方正小标宋简体"/>
          <w:b w:val="0"/>
          <w:color w:val="auto"/>
          <w:sz w:val="52"/>
          <w:szCs w:val="52"/>
          <w:highlight w:val="none"/>
        </w:rPr>
        <w:t>价格文件</w:t>
      </w:r>
      <w:bookmarkEnd w:id="361"/>
      <w:bookmarkEnd w:id="362"/>
      <w:bookmarkEnd w:id="363"/>
      <w:bookmarkEnd w:id="364"/>
      <w:bookmarkEnd w:id="365"/>
      <w:bookmarkEnd w:id="36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jc w:val="center"/>
        <w:rPr>
          <w:rFonts w:ascii="方正小标宋简体" w:eastAsia="方正小标宋简体"/>
          <w:bCs/>
          <w:color w:val="auto"/>
          <w:sz w:val="36"/>
          <w:szCs w:val="36"/>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7" w:type="default"/>
          <w:pgSz w:w="11906" w:h="16838"/>
          <w:pgMar w:top="1418" w:right="1134" w:bottom="1418" w:left="1418" w:header="851" w:footer="851" w:gutter="0"/>
          <w:cols w:space="720" w:num="1"/>
        </w:sectPr>
      </w:pPr>
    </w:p>
    <w:p>
      <w:pPr>
        <w:pStyle w:val="6"/>
        <w:spacing w:before="0" w:after="120" w:afterLines="50" w:line="560" w:lineRule="exact"/>
        <w:rPr>
          <w:b w:val="0"/>
          <w:color w:val="auto"/>
          <w:highlight w:val="none"/>
        </w:rPr>
      </w:pPr>
      <w:bookmarkStart w:id="367" w:name="_Toc13727"/>
      <w:bookmarkStart w:id="368" w:name="_Toc32751"/>
      <w:bookmarkStart w:id="369" w:name="_Toc1873"/>
      <w:bookmarkStart w:id="370" w:name="_Toc11655"/>
      <w:bookmarkStart w:id="371" w:name="_Toc8444"/>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67"/>
      <w:bookmarkEnd w:id="368"/>
      <w:bookmarkEnd w:id="369"/>
      <w:bookmarkEnd w:id="370"/>
      <w:bookmarkEnd w:id="371"/>
      <w:r>
        <w:rPr>
          <w:rFonts w:hint="eastAsia"/>
          <w:b w:val="0"/>
          <w:color w:val="auto"/>
          <w:highlight w:val="none"/>
        </w:rPr>
        <w:t>（适用于综合评分法和经评审的最低价法）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rPr>
                <w:rFonts w:ascii="宋体" w:hAnsi="宋体" w:cs="宋体"/>
                <w:bCs/>
                <w:color w:val="auto"/>
                <w:sz w:val="24"/>
                <w:highlight w:val="none"/>
              </w:rPr>
            </w:pPr>
            <w:r>
              <w:rPr>
                <w:rFonts w:hint="eastAsia" w:ascii="宋体" w:hAnsi="宋体" w:cs="宋体"/>
                <w:bCs/>
                <w:color w:val="auto"/>
                <w:sz w:val="24"/>
                <w:highlight w:val="none"/>
              </w:rPr>
              <w:t>说明：金额=单价×数量，投标总价=金额之和。</w:t>
            </w:r>
          </w:p>
        </w:tc>
      </w:tr>
    </w:tbl>
    <w:p>
      <w:pPr>
        <w:ind w:firstLine="420" w:firstLineChars="200"/>
        <w:rPr>
          <w:rFonts w:ascii="宋体" w:hAnsi="宋体" w:cs="宋体"/>
          <w:bCs/>
          <w:color w:val="auto"/>
          <w:szCs w:val="21"/>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pStyle w:val="6"/>
        <w:spacing w:before="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2428"/>
        <w:gridCol w:w="1659"/>
        <w:gridCol w:w="2004"/>
        <w:gridCol w:w="1526"/>
        <w:gridCol w:w="1378"/>
        <w:gridCol w:w="1679"/>
        <w:gridCol w:w="125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57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69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52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47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57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交货时间</w:t>
            </w:r>
          </w:p>
        </w:tc>
        <w:tc>
          <w:tcPr>
            <w:tcW w:w="43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54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rPr>
                <w:color w:val="auto"/>
                <w:sz w:val="24"/>
                <w:highlight w:val="none"/>
              </w:rPr>
            </w:pPr>
            <w:r>
              <w:rPr>
                <w:rFonts w:hint="eastAsia"/>
                <w:color w:val="auto"/>
                <w:sz w:val="24"/>
                <w:highlight w:val="none"/>
              </w:rPr>
              <w:t>注：本表适用于质量优先法第一次开标，请单独密封包装。</w:t>
            </w:r>
          </w:p>
        </w:tc>
      </w:tr>
    </w:tbl>
    <w:p>
      <w:pPr>
        <w:spacing w:before="120" w:beforeLines="50" w:line="360" w:lineRule="auto"/>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bCs/>
          <w:color w:val="auto"/>
          <w:sz w:val="28"/>
          <w:szCs w:val="28"/>
          <w:highlight w:val="none"/>
        </w:rPr>
      </w:pPr>
    </w:p>
    <w:p>
      <w:pPr>
        <w:pStyle w:val="17"/>
        <w:rPr>
          <w:color w:val="auto"/>
          <w:highlight w:val="none"/>
        </w:rPr>
      </w:pPr>
    </w:p>
    <w:p>
      <w:pPr>
        <w:rPr>
          <w:color w:val="auto"/>
          <w:highlight w:val="none"/>
        </w:rPr>
      </w:pPr>
    </w:p>
    <w:p>
      <w:pPr>
        <w:pStyle w:val="17"/>
        <w:rPr>
          <w:color w:val="auto"/>
          <w:highlight w:val="none"/>
        </w:rPr>
      </w:pPr>
    </w:p>
    <w:p>
      <w:pPr>
        <w:pStyle w:val="6"/>
        <w:spacing w:before="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pacing w:val="-4"/>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line="360" w:lineRule="auto"/>
              <w:rPr>
                <w:rFonts w:ascii="宋体" w:hAnsi="宋体" w:cs="宋体"/>
                <w:bCs/>
                <w:color w:val="auto"/>
                <w:sz w:val="24"/>
                <w:highlight w:val="none"/>
              </w:rPr>
            </w:pPr>
            <w:r>
              <w:rPr>
                <w:rFonts w:hint="eastAsia" w:ascii="宋体" w:hAnsi="宋体" w:cs="宋体"/>
                <w:bCs/>
                <w:color w:val="auto"/>
                <w:sz w:val="24"/>
                <w:highlight w:val="none"/>
              </w:rPr>
              <w:t>说明：金额=单价×数量，投标总价=金额之和。</w:t>
            </w:r>
          </w:p>
        </w:tc>
      </w:tr>
    </w:tbl>
    <w:p>
      <w:pPr>
        <w:spacing w:before="120" w:beforeLines="50" w:line="360" w:lineRule="auto"/>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0" w:after="120" w:afterLines="50" w:line="560" w:lineRule="exact"/>
        <w:rPr>
          <w:b w:val="0"/>
          <w:color w:val="auto"/>
          <w:highlight w:val="none"/>
        </w:rPr>
      </w:pPr>
      <w:bookmarkStart w:id="372" w:name="_Toc23678"/>
      <w:bookmarkStart w:id="373" w:name="_Toc23728"/>
      <w:bookmarkStart w:id="374" w:name="_Toc8637"/>
      <w:bookmarkStart w:id="375" w:name="_Toc16009"/>
      <w:bookmarkStart w:id="376" w:name="_Toc13502"/>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72"/>
      <w:bookmarkEnd w:id="373"/>
      <w:bookmarkEnd w:id="374"/>
      <w:bookmarkEnd w:id="375"/>
      <w:bookmarkEnd w:id="37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2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物资</w:t>
            </w:r>
          </w:p>
          <w:p>
            <w:pPr>
              <w:widowControl/>
              <w:jc w:val="center"/>
              <w:rPr>
                <w:bCs/>
                <w:color w:val="auto"/>
                <w:sz w:val="24"/>
                <w:highlight w:val="none"/>
              </w:rPr>
            </w:pPr>
            <w:r>
              <w:rPr>
                <w:rFonts w:hint="eastAsia"/>
                <w:bCs/>
                <w:color w:val="auto"/>
                <w:sz w:val="24"/>
                <w:highlight w:val="none"/>
              </w:rPr>
              <w:t>名称</w:t>
            </w:r>
          </w:p>
        </w:tc>
        <w:tc>
          <w:tcPr>
            <w:tcW w:w="98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w:t>
            </w:r>
          </w:p>
          <w:p>
            <w:pPr>
              <w:widowControl/>
              <w:jc w:val="center"/>
              <w:rPr>
                <w:bCs/>
                <w:color w:val="auto"/>
                <w:sz w:val="24"/>
                <w:highlight w:val="none"/>
              </w:rPr>
            </w:pPr>
            <w:r>
              <w:rPr>
                <w:rFonts w:hint="eastAsia"/>
                <w:bCs/>
                <w:color w:val="auto"/>
                <w:sz w:val="24"/>
                <w:highlight w:val="none"/>
              </w:rPr>
              <w:t>型号</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计量</w:t>
            </w:r>
          </w:p>
          <w:p>
            <w:pPr>
              <w:widowControl/>
              <w:jc w:val="center"/>
              <w:rPr>
                <w:bCs/>
                <w:color w:val="auto"/>
                <w:sz w:val="24"/>
                <w:highlight w:val="none"/>
              </w:rPr>
            </w:pPr>
            <w:r>
              <w:rPr>
                <w:rFonts w:hint="eastAsia"/>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数量</w:t>
            </w:r>
          </w:p>
        </w:tc>
        <w:tc>
          <w:tcPr>
            <w:tcW w:w="6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价</w:t>
            </w:r>
            <w:r>
              <w:rPr>
                <w:bCs/>
                <w:color w:val="auto"/>
                <w:sz w:val="24"/>
                <w:highlight w:val="none"/>
              </w:rPr>
              <w:t xml:space="preserve">  </w:t>
            </w:r>
            <w:r>
              <w:rPr>
                <w:rFonts w:hint="eastAsia"/>
                <w:bCs/>
                <w:color w:val="auto"/>
                <w:sz w:val="24"/>
                <w:highlight w:val="none"/>
              </w:rPr>
              <w:t>格</w:t>
            </w:r>
            <w:r>
              <w:rPr>
                <w:bCs/>
                <w:color w:val="auto"/>
                <w:sz w:val="24"/>
                <w:highlight w:val="none"/>
              </w:rPr>
              <w:t xml:space="preserve">  </w:t>
            </w:r>
            <w:r>
              <w:rPr>
                <w:rFonts w:hint="eastAsia"/>
                <w:bCs/>
                <w:color w:val="auto"/>
                <w:sz w:val="24"/>
                <w:highlight w:val="none"/>
              </w:rPr>
              <w:t>组</w:t>
            </w:r>
            <w:r>
              <w:rPr>
                <w:bCs/>
                <w:color w:val="auto"/>
                <w:sz w:val="24"/>
                <w:highlight w:val="none"/>
              </w:rPr>
              <w:t xml:space="preserve">  </w:t>
            </w:r>
            <w:r>
              <w:rPr>
                <w:rFonts w:hint="eastAsia"/>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128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98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69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 xml:space="preserve"> 2.项6=项7+项8+项9+项10+项11+项12+项13+项14+项15+项16+项17+项18</w:t>
            </w:r>
          </w:p>
        </w:tc>
      </w:tr>
    </w:tbl>
    <w:p>
      <w:pPr>
        <w:spacing w:line="560" w:lineRule="exact"/>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560" w:firstLineChars="200"/>
        <w:rPr>
          <w:bCs/>
          <w:color w:val="auto"/>
          <w:sz w:val="28"/>
          <w:szCs w:val="28"/>
          <w:highlight w:val="none"/>
        </w:rPr>
      </w:pPr>
    </w:p>
    <w:p>
      <w:pPr>
        <w:ind w:firstLine="640" w:firstLineChars="200"/>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0" w:after="120" w:afterLines="50" w:line="560" w:lineRule="exact"/>
        <w:rPr>
          <w:b w:val="0"/>
          <w:color w:val="auto"/>
          <w:highlight w:val="none"/>
        </w:rPr>
      </w:pPr>
      <w:bookmarkStart w:id="377" w:name="_Toc3472"/>
      <w:bookmarkStart w:id="378" w:name="_Toc10276"/>
      <w:bookmarkStart w:id="379" w:name="_Toc29514"/>
      <w:r>
        <w:rPr>
          <w:rFonts w:hint="eastAsia"/>
          <w:b w:val="0"/>
          <w:color w:val="auto"/>
          <w:highlight w:val="none"/>
        </w:rPr>
        <w:t>※附件1-3 物资材料、部件、工具价格明细表</w:t>
      </w:r>
      <w:bookmarkEnd w:id="377"/>
      <w:bookmarkEnd w:id="378"/>
      <w:bookmarkEnd w:id="379"/>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物资材料、部件、工具价格明细表</w:t>
      </w:r>
    </w:p>
    <w:p>
      <w:pPr>
        <w:autoSpaceDE w:val="0"/>
        <w:autoSpaceDN w:val="0"/>
        <w:adjustRightInd w:val="0"/>
        <w:jc w:val="left"/>
        <w:rPr>
          <w:rFonts w:eastAsia="华文中宋"/>
          <w:bCs/>
          <w:color w:val="auto"/>
          <w:sz w:val="28"/>
          <w:szCs w:val="28"/>
          <w:highlight w:val="none"/>
          <w:lang w:val="zh-CN"/>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60" w:type="dxa"/>
        <w:tblInd w:w="108" w:type="dxa"/>
        <w:tblLayout w:type="fixed"/>
        <w:tblCellMar>
          <w:top w:w="0" w:type="dxa"/>
          <w:left w:w="108" w:type="dxa"/>
          <w:bottom w:w="0" w:type="dxa"/>
          <w:right w:w="108" w:type="dxa"/>
        </w:tblCellMar>
      </w:tblPr>
      <w:tblGrid>
        <w:gridCol w:w="709"/>
        <w:gridCol w:w="1438"/>
        <w:gridCol w:w="986"/>
        <w:gridCol w:w="1132"/>
        <w:gridCol w:w="795"/>
        <w:gridCol w:w="1080"/>
        <w:gridCol w:w="747"/>
        <w:gridCol w:w="1120"/>
        <w:gridCol w:w="1353"/>
      </w:tblGrid>
      <w:tr>
        <w:tblPrEx>
          <w:tblCellMar>
            <w:top w:w="0" w:type="dxa"/>
            <w:left w:w="108" w:type="dxa"/>
            <w:bottom w:w="0" w:type="dxa"/>
            <w:right w:w="108" w:type="dxa"/>
          </w:tblCellMar>
        </w:tblPrEx>
        <w:trPr>
          <w:cantSplit/>
          <w:trHeight w:val="616" w:hRule="atLeast"/>
        </w:trPr>
        <w:tc>
          <w:tcPr>
            <w:tcW w:w="709"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43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项目</w:t>
            </w:r>
          </w:p>
        </w:tc>
        <w:tc>
          <w:tcPr>
            <w:tcW w:w="98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w:t>
            </w:r>
          </w:p>
          <w:p>
            <w:pPr>
              <w:widowControl/>
              <w:jc w:val="center"/>
              <w:rPr>
                <w:bCs/>
                <w:color w:val="auto"/>
                <w:sz w:val="24"/>
                <w:highlight w:val="none"/>
              </w:rPr>
            </w:pPr>
            <w:r>
              <w:rPr>
                <w:rFonts w:hint="eastAsia"/>
                <w:bCs/>
                <w:color w:val="auto"/>
                <w:sz w:val="24"/>
                <w:highlight w:val="none"/>
              </w:rPr>
              <w:t>型号</w:t>
            </w:r>
          </w:p>
        </w:tc>
        <w:tc>
          <w:tcPr>
            <w:tcW w:w="113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执行</w:t>
            </w:r>
          </w:p>
          <w:p>
            <w:pPr>
              <w:widowControl/>
              <w:jc w:val="center"/>
              <w:rPr>
                <w:bCs/>
                <w:color w:val="auto"/>
                <w:sz w:val="24"/>
                <w:highlight w:val="none"/>
              </w:rPr>
            </w:pPr>
            <w:r>
              <w:rPr>
                <w:rFonts w:hint="eastAsia"/>
                <w:bCs/>
                <w:color w:val="auto"/>
                <w:sz w:val="24"/>
                <w:highlight w:val="none"/>
              </w:rPr>
              <w:t>标准</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计量单位</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定额</w:t>
            </w:r>
            <w:r>
              <w:rPr>
                <w:bCs/>
                <w:color w:val="auto"/>
                <w:sz w:val="24"/>
                <w:highlight w:val="none"/>
              </w:rPr>
              <w:t>/</w:t>
            </w:r>
            <w:r>
              <w:rPr>
                <w:rFonts w:hint="eastAsia"/>
                <w:bCs/>
                <w:color w:val="auto"/>
                <w:sz w:val="24"/>
                <w:highlight w:val="none"/>
              </w:rPr>
              <w:t>消耗数量</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p>
            <w:pPr>
              <w:widowControl/>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金额</w:t>
            </w:r>
          </w:p>
          <w:p>
            <w:pPr>
              <w:widowControl/>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353" w:type="dxa"/>
            <w:vMerge w:val="restart"/>
            <w:tcBorders>
              <w:top w:val="single" w:color="auto" w:sz="4" w:space="0"/>
              <w:left w:val="single" w:color="auto" w:sz="4" w:space="0"/>
              <w:bottom w:val="single" w:color="000000" w:sz="4" w:space="0"/>
              <w:right w:val="single" w:color="auto" w:sz="8" w:space="0"/>
            </w:tcBorders>
            <w:vAlign w:val="center"/>
          </w:tcPr>
          <w:p>
            <w:pPr>
              <w:widowControl/>
              <w:jc w:val="center"/>
              <w:rPr>
                <w:bCs/>
                <w:color w:val="auto"/>
                <w:sz w:val="24"/>
                <w:highlight w:val="none"/>
              </w:rPr>
            </w:pPr>
            <w:r>
              <w:rPr>
                <w:rFonts w:hint="eastAsia"/>
                <w:bCs/>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bCs/>
                <w:color w:val="auto"/>
                <w:sz w:val="24"/>
                <w:highlight w:val="none"/>
              </w:rPr>
            </w:pPr>
          </w:p>
        </w:tc>
        <w:tc>
          <w:tcPr>
            <w:tcW w:w="14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13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353" w:type="dxa"/>
            <w:vMerge w:val="continue"/>
            <w:tcBorders>
              <w:top w:val="single" w:color="auto" w:sz="4" w:space="0"/>
              <w:left w:val="single" w:color="auto" w:sz="4" w:space="0"/>
              <w:bottom w:val="single" w:color="000000" w:sz="4" w:space="0"/>
              <w:right w:val="single" w:color="auto" w:sz="8" w:space="0"/>
            </w:tcBorders>
            <w:vAlign w:val="center"/>
          </w:tcPr>
          <w:p>
            <w:pPr>
              <w:widowControl/>
              <w:jc w:val="left"/>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2"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一</w:t>
            </w:r>
          </w:p>
        </w:tc>
        <w:tc>
          <w:tcPr>
            <w:tcW w:w="1438" w:type="dxa"/>
            <w:tcBorders>
              <w:top w:val="nil"/>
              <w:left w:val="nil"/>
              <w:bottom w:val="single" w:color="auto" w:sz="2" w:space="0"/>
              <w:right w:val="single" w:color="auto" w:sz="4" w:space="0"/>
            </w:tcBorders>
            <w:vAlign w:val="center"/>
          </w:tcPr>
          <w:p>
            <w:pPr>
              <w:widowControl/>
              <w:jc w:val="left"/>
              <w:rPr>
                <w:bCs/>
                <w:color w:val="auto"/>
                <w:sz w:val="24"/>
                <w:highlight w:val="none"/>
              </w:rPr>
            </w:pPr>
            <w:r>
              <w:rPr>
                <w:rFonts w:hint="eastAsia"/>
                <w:bCs/>
                <w:color w:val="auto"/>
                <w:sz w:val="24"/>
                <w:highlight w:val="none"/>
              </w:rPr>
              <w:t>直接材料费</w:t>
            </w:r>
          </w:p>
        </w:tc>
        <w:tc>
          <w:tcPr>
            <w:tcW w:w="986"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2"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single" w:color="auto" w:sz="2" w:space="0"/>
              <w:left w:val="single" w:color="auto" w:sz="8"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1438" w:type="dxa"/>
            <w:tcBorders>
              <w:top w:val="single" w:color="auto" w:sz="2" w:space="0"/>
              <w:left w:val="nil"/>
              <w:bottom w:val="single" w:color="auto" w:sz="4" w:space="0"/>
              <w:right w:val="single" w:color="auto" w:sz="4" w:space="0"/>
            </w:tcBorders>
            <w:vAlign w:val="center"/>
          </w:tcPr>
          <w:p>
            <w:pPr>
              <w:jc w:val="left"/>
              <w:rPr>
                <w:bCs/>
                <w:color w:val="auto"/>
                <w:sz w:val="24"/>
                <w:highlight w:val="none"/>
              </w:rPr>
            </w:pPr>
          </w:p>
        </w:tc>
        <w:tc>
          <w:tcPr>
            <w:tcW w:w="986"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132"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795"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080"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747"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120"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353" w:type="dxa"/>
            <w:tcBorders>
              <w:top w:val="single" w:color="auto" w:sz="2" w:space="0"/>
              <w:left w:val="nil"/>
              <w:bottom w:val="single" w:color="auto" w:sz="4" w:space="0"/>
              <w:right w:val="single" w:color="auto" w:sz="8"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rFonts w:ascii="宋体" w:hAnsi="宋体"/>
                <w:bCs/>
                <w:color w:val="auto"/>
                <w:sz w:val="24"/>
                <w:highlight w:val="none"/>
              </w:rPr>
            </w:pPr>
            <w:r>
              <w:rPr>
                <w:rFonts w:ascii="宋体" w:hAnsi="宋体"/>
                <w:bCs/>
                <w:color w:val="auto"/>
                <w:sz w:val="24"/>
                <w:highlight w:val="none"/>
              </w:rPr>
              <w:t>2</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二</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外购成件费</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三</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备件工具费</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214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合计</w:t>
            </w:r>
          </w:p>
        </w:tc>
        <w:tc>
          <w:tcPr>
            <w:tcW w:w="986"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9360"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说明：以一套物资的所用材料为基本单位，项目填列直接材料明细。</w:t>
            </w:r>
          </w:p>
        </w:tc>
      </w:tr>
    </w:tbl>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pStyle w:val="6"/>
        <w:spacing w:before="120" w:beforeLines="50" w:after="120" w:afterLines="50" w:line="560" w:lineRule="exact"/>
        <w:rPr>
          <w:b w:val="0"/>
          <w:color w:val="auto"/>
          <w:highlight w:val="none"/>
        </w:rPr>
      </w:pPr>
      <w:bookmarkStart w:id="380" w:name="_Toc17645"/>
      <w:bookmarkStart w:id="381" w:name="_Toc14107"/>
      <w:bookmarkStart w:id="382" w:name="_Toc8048"/>
      <w:bookmarkStart w:id="383" w:name="_Toc10747"/>
      <w:bookmarkStart w:id="384" w:name="_Toc24431"/>
      <w:r>
        <w:rPr>
          <w:rFonts w:hint="eastAsia"/>
          <w:b w:val="0"/>
          <w:color w:val="auto"/>
          <w:highlight w:val="none"/>
        </w:rPr>
        <w:t>※附件</w:t>
      </w:r>
      <w:r>
        <w:rPr>
          <w:b w:val="0"/>
          <w:color w:val="auto"/>
          <w:highlight w:val="none"/>
        </w:rPr>
        <w:t>1-4</w:t>
      </w:r>
      <w:r>
        <w:rPr>
          <w:rFonts w:hint="eastAsia"/>
          <w:b w:val="0"/>
          <w:color w:val="auto"/>
          <w:highlight w:val="none"/>
        </w:rPr>
        <w:t xml:space="preserve"> 其他与价格有关的材料、文件</w:t>
      </w:r>
      <w:bookmarkEnd w:id="380"/>
      <w:bookmarkEnd w:id="381"/>
      <w:bookmarkEnd w:id="382"/>
      <w:bookmarkEnd w:id="383"/>
      <w:bookmarkEnd w:id="384"/>
    </w:p>
    <w:p>
      <w:pPr>
        <w:spacing w:before="120" w:beforeLines="50" w:after="120" w:afterLines="50" w:line="560" w:lineRule="exact"/>
        <w:jc w:val="center"/>
        <w:rPr>
          <w:bCs/>
          <w:color w:val="auto"/>
          <w:sz w:val="36"/>
          <w:szCs w:val="36"/>
          <w:highlight w:val="none"/>
          <w:lang w:val="zh-CN"/>
        </w:rPr>
      </w:pPr>
      <w:r>
        <w:rPr>
          <w:rFonts w:hint="eastAsia" w:ascii="黑体" w:hAnsi="黑体" w:eastAsia="黑体" w:cs="黑体"/>
          <w:bCs/>
          <w:color w:val="auto"/>
          <w:sz w:val="36"/>
          <w:szCs w:val="36"/>
          <w:highlight w:val="none"/>
        </w:rPr>
        <w:t>其他与价格有关的材料、文件</w:t>
      </w:r>
    </w:p>
    <w:p>
      <w:pPr>
        <w:spacing w:line="360" w:lineRule="auto"/>
        <w:jc w:val="center"/>
        <w:rPr>
          <w:bCs/>
          <w:color w:val="auto"/>
          <w:sz w:val="28"/>
          <w:szCs w:val="28"/>
          <w:highlight w:val="none"/>
          <w:lang w:val="zh-CN"/>
        </w:rPr>
      </w:pPr>
      <w:r>
        <w:rPr>
          <w:rFonts w:hint="eastAsia"/>
          <w:bCs/>
          <w:color w:val="auto"/>
          <w:sz w:val="28"/>
          <w:szCs w:val="28"/>
          <w:highlight w:val="none"/>
          <w:lang w:val="zh-CN"/>
        </w:rPr>
        <w:t>（由投标供应商根据项目需求自行拟定）</w:t>
      </w:r>
    </w:p>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85" w:name="_Toc132190144"/>
      <w:r>
        <w:rPr>
          <w:rFonts w:hint="eastAsia" w:ascii="方正小标宋简体" w:eastAsia="方正小标宋简体"/>
          <w:b w:val="0"/>
          <w:color w:val="auto"/>
          <w:sz w:val="52"/>
          <w:szCs w:val="52"/>
          <w:highlight w:val="none"/>
        </w:rPr>
        <w:t>二、商务技术文件</w:t>
      </w:r>
      <w:bookmarkEnd w:id="38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386" w:name="_Toc22764"/>
      <w:bookmarkStart w:id="387" w:name="_Toc24480"/>
      <w:bookmarkStart w:id="388" w:name="_Toc9050"/>
      <w:bookmarkStart w:id="389" w:name="_Toc32372"/>
      <w:bookmarkStart w:id="390" w:name="_Toc2002"/>
      <w:r>
        <w:rPr>
          <w:b/>
          <w:color w:val="auto"/>
          <w:highlight w:val="none"/>
        </w:rPr>
        <w:br w:type="page"/>
      </w:r>
    </w:p>
    <w:p>
      <w:pPr>
        <w:pStyle w:val="6"/>
        <w:spacing w:before="120" w:beforeLines="50" w:after="120" w:afterLines="50" w:line="560" w:lineRule="exact"/>
        <w:rPr>
          <w:b w:val="0"/>
          <w:color w:val="auto"/>
          <w:highlight w:val="none"/>
          <w:lang w:val="zh-CN"/>
        </w:rPr>
      </w:pPr>
      <w:r>
        <w:rPr>
          <w:rFonts w:hint="eastAsia"/>
          <w:b w:val="0"/>
          <w:color w:val="auto"/>
          <w:highlight w:val="none"/>
        </w:rPr>
        <w:t>附件</w:t>
      </w:r>
      <w:r>
        <w:rPr>
          <w:b w:val="0"/>
          <w:color w:val="auto"/>
          <w:highlight w:val="none"/>
        </w:rPr>
        <w:t>2-1</w:t>
      </w:r>
      <w:r>
        <w:rPr>
          <w:rFonts w:hint="eastAsia"/>
          <w:b w:val="0"/>
          <w:color w:val="auto"/>
          <w:highlight w:val="none"/>
        </w:rPr>
        <w:t>符合性审查索引表</w:t>
      </w:r>
      <w:bookmarkEnd w:id="386"/>
      <w:bookmarkEnd w:id="387"/>
      <w:bookmarkEnd w:id="388"/>
      <w:bookmarkEnd w:id="389"/>
      <w:bookmarkEnd w:id="39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fixed"/>
        <w:tblCellMar>
          <w:top w:w="0" w:type="dxa"/>
          <w:left w:w="108" w:type="dxa"/>
          <w:bottom w:w="0" w:type="dxa"/>
          <w:right w:w="108" w:type="dxa"/>
        </w:tblCellMar>
      </w:tblPr>
      <w:tblGrid>
        <w:gridCol w:w="959"/>
        <w:gridCol w:w="5386"/>
        <w:gridCol w:w="3225"/>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2814"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符合性审查项目</w:t>
            </w:r>
          </w:p>
        </w:tc>
        <w:tc>
          <w:tcPr>
            <w:tcW w:w="1685"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276"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1685"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4   </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459"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rPr>
          <w:b w:val="0"/>
          <w:color w:val="auto"/>
          <w:highlight w:val="none"/>
          <w:lang w:val="zh-CN"/>
        </w:rPr>
      </w:pPr>
      <w:bookmarkStart w:id="391" w:name="_Toc11693"/>
      <w:bookmarkStart w:id="392" w:name="_Toc25165"/>
      <w:bookmarkStart w:id="393" w:name="_Toc12443"/>
      <w:bookmarkStart w:id="394" w:name="_Toc22628"/>
      <w:bookmarkStart w:id="395" w:name="_Toc4926"/>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91"/>
      <w:bookmarkEnd w:id="392"/>
      <w:bookmarkEnd w:id="393"/>
      <w:bookmarkEnd w:id="394"/>
      <w:bookmarkEnd w:id="39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309"/>
        <w:gridCol w:w="2126"/>
        <w:gridCol w:w="1365"/>
        <w:gridCol w:w="2004"/>
        <w:gridCol w:w="1949"/>
      </w:tblGrid>
      <w:tr>
        <w:tblPrEx>
          <w:tblCellMar>
            <w:top w:w="0" w:type="dxa"/>
            <w:left w:w="108" w:type="dxa"/>
            <w:bottom w:w="0" w:type="dxa"/>
            <w:right w:w="108" w:type="dxa"/>
          </w:tblCellMar>
        </w:tblPrEx>
        <w:trPr>
          <w:trHeight w:val="68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684"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111"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713"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065"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713"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68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68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58"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bookmarkStart w:id="396" w:name="_Toc26765"/>
      <w:bookmarkStart w:id="397" w:name="_Toc12795"/>
      <w:bookmarkStart w:id="398" w:name="_Toc32562"/>
      <w:bookmarkStart w:id="399" w:name="_Toc32128"/>
      <w:bookmarkStart w:id="400" w:name="_Toc17322"/>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96"/>
      <w:bookmarkEnd w:id="397"/>
      <w:bookmarkEnd w:id="398"/>
      <w:bookmarkEnd w:id="399"/>
      <w:bookmarkEnd w:id="40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370"/>
        <w:gridCol w:w="2102"/>
        <w:gridCol w:w="1219"/>
        <w:gridCol w:w="1935"/>
        <w:gridCol w:w="2127"/>
      </w:tblGrid>
      <w:tr>
        <w:tblPrEx>
          <w:tblCellMar>
            <w:top w:w="0" w:type="dxa"/>
            <w:left w:w="108" w:type="dxa"/>
            <w:bottom w:w="0" w:type="dxa"/>
            <w:right w:w="108" w:type="dxa"/>
          </w:tblCellMar>
        </w:tblPrEx>
        <w:trPr>
          <w:trHeight w:val="68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16"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098"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637"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122"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98"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637"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r>
              <w:rPr>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1</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2</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2</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3</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3</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71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r>
              <w:rPr>
                <w:bCs/>
                <w:color w:val="auto"/>
                <w:sz w:val="24"/>
                <w:highlight w:val="none"/>
              </w:rPr>
              <w:t>2</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1</w:t>
            </w:r>
          </w:p>
        </w:tc>
        <w:tc>
          <w:tcPr>
            <w:tcW w:w="71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r>
              <w:rPr>
                <w:rFonts w:hint="eastAsia"/>
                <w:bCs/>
                <w:color w:val="auto"/>
                <w:sz w:val="24"/>
                <w:highlight w:val="none"/>
              </w:rPr>
              <w:t>指标</w:t>
            </w:r>
            <w:r>
              <w:rPr>
                <w:bCs/>
                <w:color w:val="auto"/>
                <w:sz w:val="24"/>
                <w:highlight w:val="none"/>
              </w:rPr>
              <w:t>1</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2</w:t>
            </w: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r>
              <w:rPr>
                <w:rFonts w:hint="eastAsia"/>
                <w:bCs/>
                <w:color w:val="auto"/>
                <w:sz w:val="24"/>
                <w:highlight w:val="none"/>
              </w:rPr>
              <w:t>指标</w:t>
            </w:r>
            <w:r>
              <w:rPr>
                <w:bCs/>
                <w:color w:val="auto"/>
                <w:sz w:val="24"/>
                <w:highlight w:val="none"/>
              </w:rPr>
              <w:t>2</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3</w:t>
            </w: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3</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pPr>
        <w:jc w:val="center"/>
        <w:rPr>
          <w:bCs/>
          <w:color w:val="auto"/>
          <w:highlight w:val="none"/>
        </w:rPr>
      </w:pPr>
    </w:p>
    <w:p>
      <w:pPr>
        <w:rPr>
          <w:rFonts w:eastAsia="黑体"/>
          <w:bCs/>
          <w:color w:val="auto"/>
          <w:sz w:val="28"/>
          <w:szCs w:val="28"/>
          <w:highlight w:val="none"/>
        </w:rPr>
      </w:pPr>
    </w:p>
    <w:p>
      <w:pPr>
        <w:pStyle w:val="6"/>
        <w:spacing w:before="120" w:beforeLines="50" w:after="120" w:afterLines="50" w:line="560" w:lineRule="exact"/>
        <w:rPr>
          <w:rFonts w:ascii="宋体" w:hAnsi="宋体"/>
          <w:b w:val="0"/>
          <w:color w:val="auto"/>
          <w:highlight w:val="none"/>
        </w:rPr>
      </w:pPr>
      <w:r>
        <w:rPr>
          <w:b w:val="0"/>
          <w:color w:val="auto"/>
          <w:highlight w:val="none"/>
        </w:rPr>
        <w:br w:type="page"/>
      </w:r>
      <w:bookmarkStart w:id="401" w:name="_Toc9583"/>
      <w:bookmarkStart w:id="402" w:name="_Toc20627"/>
      <w:bookmarkStart w:id="403" w:name="_Toc8024"/>
      <w:bookmarkStart w:id="404" w:name="_Toc14857"/>
      <w:bookmarkStart w:id="405" w:name="_Toc31106"/>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401"/>
      <w:bookmarkEnd w:id="402"/>
      <w:bookmarkEnd w:id="403"/>
      <w:bookmarkEnd w:id="404"/>
      <w:bookmarkEnd w:id="40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u w:val="single"/>
        </w:rPr>
        <w:t>（采购机构名称）</w:t>
      </w:r>
      <w:r>
        <w:rPr>
          <w:rFonts w:ascii="宋体" w:hAnsi="宋体"/>
          <w:bCs/>
          <w:color w:val="auto"/>
          <w:sz w:val="28"/>
          <w:szCs w:val="28"/>
          <w:highlight w:val="none"/>
        </w:rPr>
        <w:t>：</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我方参加贵部组织的</w:t>
      </w:r>
      <w:r>
        <w:rPr>
          <w:rFonts w:ascii="宋体" w:hAnsi="宋体"/>
          <w:bCs/>
          <w:color w:val="auto"/>
          <w:sz w:val="28"/>
          <w:szCs w:val="28"/>
          <w:highlight w:val="none"/>
          <w:u w:val="single"/>
        </w:rPr>
        <w:t>（项目编号</w:t>
      </w:r>
      <w:r>
        <w:rPr>
          <w:rFonts w:hint="eastAsia" w:ascii="宋体" w:hAnsi="宋体"/>
          <w:bCs/>
          <w:color w:val="auto"/>
          <w:sz w:val="28"/>
          <w:szCs w:val="28"/>
          <w:highlight w:val="none"/>
          <w:u w:val="single"/>
        </w:rPr>
        <w:t>和</w:t>
      </w:r>
      <w:r>
        <w:rPr>
          <w:rFonts w:ascii="宋体" w:hAnsi="宋体"/>
          <w:bCs/>
          <w:color w:val="auto"/>
          <w:sz w:val="28"/>
          <w:szCs w:val="28"/>
          <w:highlight w:val="none"/>
          <w:u w:val="single"/>
        </w:rPr>
        <w:t>项目名称）</w:t>
      </w:r>
      <w:r>
        <w:rPr>
          <w:rFonts w:ascii="宋体" w:hAnsi="宋体"/>
          <w:bCs/>
          <w:color w:val="auto"/>
          <w:sz w:val="28"/>
          <w:szCs w:val="28"/>
          <w:highlight w:val="none"/>
        </w:rPr>
        <w:t>招标采购活动，并对</w:t>
      </w:r>
      <w:r>
        <w:rPr>
          <w:rFonts w:ascii="宋体" w:hAnsi="宋体"/>
          <w:bCs/>
          <w:color w:val="auto"/>
          <w:sz w:val="28"/>
          <w:szCs w:val="28"/>
          <w:highlight w:val="none"/>
          <w:u w:val="single"/>
        </w:rPr>
        <w:t>（包号或物资名称）</w:t>
      </w:r>
      <w:r>
        <w:rPr>
          <w:rFonts w:ascii="宋体" w:hAnsi="宋体"/>
          <w:bCs/>
          <w:color w:val="auto"/>
          <w:sz w:val="28"/>
          <w:szCs w:val="28"/>
          <w:highlight w:val="none"/>
        </w:rPr>
        <w:t>进行投标。</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w:t>
      </w:r>
      <w:r>
        <w:rPr>
          <w:rFonts w:ascii="宋体" w:hAnsi="宋体"/>
          <w:bCs/>
          <w:color w:val="auto"/>
          <w:sz w:val="28"/>
          <w:szCs w:val="28"/>
          <w:highlight w:val="none"/>
        </w:rPr>
        <w:t>按照招标文件</w:t>
      </w:r>
      <w:r>
        <w:rPr>
          <w:rFonts w:hint="eastAsia" w:ascii="宋体" w:hAnsi="宋体"/>
          <w:bCs/>
          <w:color w:val="auto"/>
          <w:sz w:val="28"/>
          <w:szCs w:val="28"/>
          <w:highlight w:val="none"/>
        </w:rPr>
        <w:t>要求提</w:t>
      </w:r>
      <w:r>
        <w:rPr>
          <w:rFonts w:ascii="宋体" w:hAnsi="宋体"/>
          <w:bCs/>
          <w:color w:val="auto"/>
          <w:sz w:val="28"/>
          <w:szCs w:val="28"/>
          <w:highlight w:val="none"/>
        </w:rPr>
        <w:t>交</w:t>
      </w:r>
      <w:r>
        <w:rPr>
          <w:rFonts w:ascii="宋体" w:hAnsi="宋体"/>
          <w:bCs/>
          <w:color w:val="auto"/>
          <w:sz w:val="28"/>
          <w:szCs w:val="28"/>
          <w:highlight w:val="none"/>
          <w:lang w:val="zh-CN"/>
        </w:rPr>
        <w:t>投标文件正本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份和副本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w:t>
      </w:r>
      <w:r>
        <w:rPr>
          <w:rFonts w:ascii="宋体" w:hAnsi="宋体"/>
          <w:bCs/>
          <w:color w:val="auto"/>
          <w:sz w:val="28"/>
          <w:szCs w:val="28"/>
          <w:highlight w:val="none"/>
        </w:rPr>
        <w:t>，电子版投标文件</w:t>
      </w:r>
      <w:r>
        <w:rPr>
          <w:rFonts w:ascii="宋体" w:hAnsi="宋体"/>
          <w:bCs/>
          <w:color w:val="auto"/>
          <w:sz w:val="28"/>
          <w:szCs w:val="28"/>
          <w:highlight w:val="none"/>
          <w:u w:val="single"/>
        </w:rPr>
        <w:t xml:space="preserve">   </w:t>
      </w:r>
      <w:r>
        <w:rPr>
          <w:rFonts w:ascii="宋体" w:hAnsi="宋体"/>
          <w:bCs/>
          <w:color w:val="auto"/>
          <w:sz w:val="28"/>
          <w:szCs w:val="28"/>
          <w:highlight w:val="none"/>
        </w:rPr>
        <w:t>份。其中，</w:t>
      </w:r>
      <w:r>
        <w:rPr>
          <w:rFonts w:hint="eastAsia" w:ascii="宋体" w:hAnsi="宋体"/>
          <w:bCs/>
          <w:color w:val="auto"/>
          <w:sz w:val="28"/>
          <w:szCs w:val="28"/>
          <w:highlight w:val="none"/>
        </w:rPr>
        <w:t>“</w:t>
      </w:r>
      <w:r>
        <w:rPr>
          <w:rFonts w:ascii="宋体" w:hAnsi="宋体"/>
          <w:bCs/>
          <w:color w:val="auto"/>
          <w:sz w:val="28"/>
          <w:szCs w:val="28"/>
          <w:highlight w:val="none"/>
        </w:rPr>
        <w:t>价格文件</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 xml:space="preserve"> </w:t>
      </w:r>
      <w:r>
        <w:rPr>
          <w:rFonts w:ascii="宋体" w:hAnsi="宋体"/>
          <w:bCs/>
          <w:color w:val="auto"/>
          <w:sz w:val="28"/>
          <w:szCs w:val="28"/>
          <w:highlight w:val="none"/>
          <w:u w:val="single"/>
        </w:rPr>
        <w:t xml:space="preserve">   </w:t>
      </w:r>
      <w:r>
        <w:rPr>
          <w:rFonts w:ascii="宋体" w:hAnsi="宋体"/>
          <w:bCs/>
          <w:color w:val="auto"/>
          <w:sz w:val="28"/>
          <w:szCs w:val="28"/>
          <w:highlight w:val="none"/>
        </w:rPr>
        <w:t>份单独密封提交。</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二、</w:t>
      </w:r>
      <w:r>
        <w:rPr>
          <w:rFonts w:ascii="宋体" w:hAnsi="宋体"/>
          <w:bCs/>
          <w:color w:val="auto"/>
          <w:sz w:val="28"/>
          <w:szCs w:val="28"/>
          <w:highlight w:val="none"/>
          <w:lang w:val="zh-CN"/>
        </w:rPr>
        <w:t>我方已完全理解招标文件的全部内容，自愿接受并执行招标文件的全部条款</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w:t>
      </w:r>
      <w:r>
        <w:rPr>
          <w:rFonts w:ascii="宋体" w:hAnsi="宋体"/>
          <w:bCs/>
          <w:color w:val="auto"/>
          <w:sz w:val="28"/>
          <w:szCs w:val="28"/>
          <w:highlight w:val="none"/>
        </w:rPr>
        <w:t>本投标</w:t>
      </w:r>
      <w:r>
        <w:rPr>
          <w:rFonts w:ascii="宋体" w:hAnsi="宋体"/>
          <w:bCs/>
          <w:color w:val="auto"/>
          <w:sz w:val="28"/>
          <w:szCs w:val="28"/>
          <w:highlight w:val="none"/>
          <w:lang w:val="zh-CN"/>
        </w:rPr>
        <w:t>有效期自</w:t>
      </w:r>
      <w:r>
        <w:rPr>
          <w:rFonts w:hint="eastAsia" w:ascii="宋体" w:hAnsi="宋体"/>
          <w:bCs/>
          <w:color w:val="auto"/>
          <w:sz w:val="28"/>
          <w:szCs w:val="28"/>
          <w:highlight w:val="none"/>
          <w:lang w:val="zh-CN"/>
        </w:rPr>
        <w:t>提交投标文件的截止之日</w:t>
      </w:r>
      <w:r>
        <w:rPr>
          <w:rFonts w:ascii="宋体" w:hAnsi="宋体"/>
          <w:bCs/>
          <w:color w:val="auto"/>
          <w:sz w:val="28"/>
          <w:szCs w:val="28"/>
          <w:highlight w:val="none"/>
          <w:lang w:val="zh-CN"/>
        </w:rPr>
        <w:t>起</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日内有效</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cs="宋体"/>
          <w:bCs/>
          <w:snapToGrid w:val="0"/>
          <w:color w:val="auto"/>
          <w:sz w:val="28"/>
          <w:szCs w:val="28"/>
          <w:highlight w:val="none"/>
          <w:lang w:val="zh-CN"/>
        </w:rPr>
      </w:pPr>
      <w:r>
        <w:rPr>
          <w:rFonts w:hint="eastAsia" w:ascii="宋体" w:hAnsi="宋体"/>
          <w:bCs/>
          <w:snapToGrid w:val="0"/>
          <w:color w:val="auto"/>
          <w:sz w:val="28"/>
          <w:szCs w:val="28"/>
          <w:highlight w:val="none"/>
          <w:lang w:val="zh-CN"/>
        </w:rPr>
        <w:t>四、</w:t>
      </w:r>
      <w:r>
        <w:rPr>
          <w:rFonts w:ascii="宋体" w:hAnsi="宋体"/>
          <w:bCs/>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，同意招标文件的相关条款。</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五、</w:t>
      </w:r>
      <w:r>
        <w:rPr>
          <w:rFonts w:ascii="宋体" w:hAnsi="宋体"/>
          <w:bCs/>
          <w:color w:val="auto"/>
          <w:sz w:val="28"/>
          <w:szCs w:val="28"/>
          <w:highlight w:val="none"/>
        </w:rPr>
        <w:t>我方声明</w:t>
      </w:r>
      <w:r>
        <w:rPr>
          <w:rFonts w:hint="eastAsia" w:ascii="宋体" w:hAnsi="宋体"/>
          <w:bCs/>
          <w:color w:val="auto"/>
          <w:sz w:val="28"/>
          <w:szCs w:val="28"/>
          <w:highlight w:val="none"/>
        </w:rPr>
        <w:t>提供的</w:t>
      </w:r>
      <w:r>
        <w:rPr>
          <w:rFonts w:ascii="宋体" w:hAnsi="宋体"/>
          <w:bCs/>
          <w:color w:val="auto"/>
          <w:sz w:val="28"/>
          <w:szCs w:val="28"/>
          <w:highlight w:val="none"/>
        </w:rPr>
        <w:t>投标文件及一切</w:t>
      </w:r>
      <w:r>
        <w:rPr>
          <w:rFonts w:hint="eastAsia" w:ascii="宋体" w:hAnsi="宋体"/>
          <w:bCs/>
          <w:color w:val="auto"/>
          <w:sz w:val="28"/>
          <w:szCs w:val="28"/>
          <w:highlight w:val="none"/>
        </w:rPr>
        <w:t>材料和承诺</w:t>
      </w:r>
      <w:r>
        <w:rPr>
          <w:rFonts w:ascii="宋体" w:hAnsi="宋体"/>
          <w:bCs/>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bCs/>
          <w:color w:val="auto"/>
          <w:sz w:val="28"/>
          <w:szCs w:val="28"/>
          <w:highlight w:val="none"/>
        </w:rPr>
        <w:t>不实而造成的责任和后果由我方承担。我方同意按照贵部要求，提供与招标有关数据或信息。</w:t>
      </w:r>
      <w:r>
        <w:rPr>
          <w:rFonts w:hint="eastAsia" w:ascii="宋体" w:hAnsi="宋体"/>
          <w:bCs/>
          <w:color w:val="auto"/>
          <w:sz w:val="28"/>
          <w:szCs w:val="28"/>
          <w:highlight w:val="none"/>
        </w:rPr>
        <w:t>我方承诺完全按照投标文件有关内容履约。</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六、</w:t>
      </w:r>
      <w:r>
        <w:rPr>
          <w:rFonts w:ascii="宋体" w:hAnsi="宋体"/>
          <w:bCs/>
          <w:color w:val="auto"/>
          <w:sz w:val="28"/>
          <w:szCs w:val="28"/>
          <w:highlight w:val="none"/>
        </w:rPr>
        <w:t>我方承诺自愿遵守</w:t>
      </w:r>
      <w:r>
        <w:rPr>
          <w:rFonts w:hint="eastAsia" w:ascii="宋体" w:hAnsi="宋体"/>
          <w:bCs/>
          <w:color w:val="auto"/>
          <w:sz w:val="28"/>
          <w:szCs w:val="28"/>
          <w:highlight w:val="none"/>
        </w:rPr>
        <w:t>、</w:t>
      </w:r>
      <w:r>
        <w:rPr>
          <w:rFonts w:ascii="宋体" w:hAnsi="宋体"/>
          <w:bCs/>
          <w:color w:val="auto"/>
          <w:sz w:val="28"/>
          <w:szCs w:val="28"/>
          <w:highlight w:val="none"/>
        </w:rPr>
        <w:t>执行军队采购</w:t>
      </w:r>
      <w:r>
        <w:rPr>
          <w:rFonts w:hint="eastAsia" w:ascii="宋体" w:hAnsi="宋体"/>
          <w:bCs/>
          <w:color w:val="auto"/>
          <w:sz w:val="28"/>
          <w:szCs w:val="28"/>
          <w:highlight w:val="none"/>
        </w:rPr>
        <w:t>政策法规。</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七、</w:t>
      </w:r>
      <w:r>
        <w:rPr>
          <w:rFonts w:ascii="宋体" w:hAnsi="宋体"/>
          <w:bCs/>
          <w:color w:val="auto"/>
          <w:sz w:val="28"/>
          <w:szCs w:val="28"/>
          <w:highlight w:val="none"/>
        </w:rPr>
        <w:t>联系方式</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联 系 人：</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电话：</w:t>
      </w:r>
      <w:r>
        <w:rPr>
          <w:rFonts w:ascii="宋体" w:hAnsi="宋体"/>
          <w:bCs/>
          <w:color w:val="auto"/>
          <w:sz w:val="28"/>
          <w:szCs w:val="28"/>
          <w:highlight w:val="none"/>
          <w:u w:val="single"/>
        </w:rPr>
        <w:t xml:space="preserve">        </w:t>
      </w:r>
      <w:r>
        <w:rPr>
          <w:rFonts w:ascii="宋体" w:hAnsi="宋体"/>
          <w:bCs/>
          <w:color w:val="auto"/>
          <w:sz w:val="28"/>
          <w:szCs w:val="28"/>
          <w:highlight w:val="none"/>
        </w:rPr>
        <w:t>传真：</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地    址：</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邮政编码：</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开户名称：</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开户银行：</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rPr>
          <w:bCs/>
          <w:color w:val="auto"/>
          <w:sz w:val="28"/>
          <w:szCs w:val="28"/>
          <w:highlight w:val="none"/>
        </w:rPr>
      </w:pPr>
      <w:r>
        <w:rPr>
          <w:rFonts w:ascii="宋体" w:hAnsi="宋体"/>
          <w:bCs/>
          <w:color w:val="auto"/>
          <w:sz w:val="28"/>
          <w:szCs w:val="28"/>
          <w:highlight w:val="none"/>
        </w:rPr>
        <w:t>银行账号：</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44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06" w:name="_Toc28164"/>
      <w:bookmarkStart w:id="407" w:name="_Toc8743"/>
      <w:bookmarkStart w:id="408" w:name="_Toc16555"/>
      <w:bookmarkStart w:id="409" w:name="_Toc21038"/>
      <w:bookmarkStart w:id="410" w:name="_Toc10971"/>
      <w:bookmarkStart w:id="411" w:name="_Toc20834"/>
      <w:bookmarkStart w:id="412" w:name="_Toc2085"/>
      <w:bookmarkStart w:id="413" w:name="_Toc27776"/>
      <w:bookmarkStart w:id="414" w:name="_Toc14250"/>
      <w:bookmarkStart w:id="415" w:name="_Toc29130"/>
      <w:r>
        <w:rPr>
          <w:rFonts w:hint="eastAsia"/>
          <w:b w:val="0"/>
          <w:color w:val="auto"/>
          <w:highlight w:val="none"/>
        </w:rPr>
        <w:t>附件</w:t>
      </w:r>
      <w:r>
        <w:rPr>
          <w:b w:val="0"/>
          <w:color w:val="auto"/>
          <w:highlight w:val="none"/>
        </w:rPr>
        <w:t>2-5</w:t>
      </w:r>
      <w:r>
        <w:rPr>
          <w:rFonts w:hint="eastAsia"/>
          <w:b w:val="0"/>
          <w:color w:val="auto"/>
          <w:highlight w:val="none"/>
        </w:rPr>
        <w:t>商务条款响应偏离表</w:t>
      </w:r>
      <w:bookmarkEnd w:id="406"/>
      <w:bookmarkEnd w:id="407"/>
      <w:bookmarkEnd w:id="408"/>
      <w:bookmarkEnd w:id="409"/>
      <w:bookmarkEnd w:id="410"/>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81"/>
        <w:gridCol w:w="1233"/>
        <w:gridCol w:w="1255"/>
        <w:gridCol w:w="2498"/>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709"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评审项目</w:t>
            </w:r>
          </w:p>
        </w:tc>
        <w:tc>
          <w:tcPr>
            <w:tcW w:w="1481"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商务评审</w:t>
            </w:r>
          </w:p>
          <w:p>
            <w:pPr>
              <w:widowControl/>
              <w:jc w:val="center"/>
              <w:rPr>
                <w:bCs/>
                <w:color w:val="auto"/>
                <w:sz w:val="24"/>
                <w:highlight w:val="none"/>
              </w:rPr>
            </w:pPr>
            <w:r>
              <w:rPr>
                <w:rFonts w:hint="eastAsia"/>
                <w:bCs/>
                <w:color w:val="auto"/>
                <w:sz w:val="24"/>
                <w:highlight w:val="none"/>
              </w:rPr>
              <w:t>要求</w:t>
            </w:r>
          </w:p>
        </w:tc>
        <w:tc>
          <w:tcPr>
            <w:tcW w:w="1233"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商务响应</w:t>
            </w:r>
          </w:p>
        </w:tc>
        <w:tc>
          <w:tcPr>
            <w:tcW w:w="1255"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偏离度</w:t>
            </w:r>
          </w:p>
        </w:tc>
        <w:tc>
          <w:tcPr>
            <w:tcW w:w="2498"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04" w:type="dxa"/>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说明：投标供应商应当对照专用文件规定的商务要求，逐条如实填写所投物资的具体响应，注明无偏离、正偏离或负偏离，并在备注中注明偏离的具体内容。负偏离应当如实注明。本表中带“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360" w:firstLineChars="12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160" w:firstLineChars="22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411"/>
      <w:bookmarkEnd w:id="412"/>
      <w:bookmarkEnd w:id="413"/>
      <w:bookmarkEnd w:id="414"/>
      <w:bookmarkEnd w:id="415"/>
    </w:p>
    <w:p>
      <w:pPr>
        <w:spacing w:before="120" w:beforeLines="50" w:after="120" w:afterLines="50" w:line="560" w:lineRule="exact"/>
        <w:jc w:val="center"/>
        <w:rPr>
          <w:rFonts w:eastAsia="方正小标宋简体"/>
          <w:bCs/>
          <w:color w:val="auto"/>
          <w:sz w:val="44"/>
          <w:szCs w:val="44"/>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225"/>
        <w:gridCol w:w="1361"/>
        <w:gridCol w:w="1619"/>
        <w:gridCol w:w="1275"/>
        <w:gridCol w:w="232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379" w:type="pct"/>
            <w:vAlign w:val="center"/>
          </w:tcPr>
          <w:p>
            <w:pPr>
              <w:widowControl/>
              <w:jc w:val="center"/>
              <w:rPr>
                <w:bCs/>
                <w:color w:val="auto"/>
                <w:sz w:val="24"/>
                <w:highlight w:val="none"/>
              </w:rPr>
            </w:pPr>
            <w:r>
              <w:rPr>
                <w:rFonts w:hint="eastAsia"/>
                <w:bCs/>
                <w:color w:val="auto"/>
                <w:sz w:val="24"/>
                <w:highlight w:val="none"/>
              </w:rPr>
              <w:t>序号</w:t>
            </w:r>
          </w:p>
        </w:tc>
        <w:tc>
          <w:tcPr>
            <w:tcW w:w="640" w:type="pct"/>
            <w:vAlign w:val="center"/>
          </w:tcPr>
          <w:p>
            <w:pPr>
              <w:widowControl/>
              <w:jc w:val="center"/>
              <w:rPr>
                <w:bCs/>
                <w:color w:val="auto"/>
                <w:sz w:val="24"/>
                <w:highlight w:val="none"/>
              </w:rPr>
            </w:pPr>
            <w:r>
              <w:rPr>
                <w:rFonts w:hint="eastAsia"/>
                <w:bCs/>
                <w:color w:val="auto"/>
                <w:sz w:val="24"/>
                <w:highlight w:val="none"/>
              </w:rPr>
              <w:t>评审项目</w:t>
            </w:r>
          </w:p>
        </w:tc>
        <w:tc>
          <w:tcPr>
            <w:tcW w:w="711" w:type="pct"/>
            <w:vAlign w:val="center"/>
          </w:tcPr>
          <w:p>
            <w:pPr>
              <w:widowControl/>
              <w:jc w:val="center"/>
              <w:rPr>
                <w:bCs/>
                <w:color w:val="auto"/>
                <w:sz w:val="24"/>
                <w:highlight w:val="none"/>
              </w:rPr>
            </w:pPr>
            <w:r>
              <w:rPr>
                <w:rFonts w:hint="eastAsia"/>
                <w:bCs/>
                <w:color w:val="auto"/>
                <w:sz w:val="24"/>
                <w:highlight w:val="none"/>
              </w:rPr>
              <w:t>技术评审要求</w:t>
            </w:r>
          </w:p>
        </w:tc>
        <w:tc>
          <w:tcPr>
            <w:tcW w:w="846" w:type="pct"/>
            <w:vAlign w:val="center"/>
          </w:tcPr>
          <w:p>
            <w:pPr>
              <w:widowControl/>
              <w:jc w:val="center"/>
              <w:rPr>
                <w:bCs/>
                <w:color w:val="auto"/>
                <w:sz w:val="24"/>
                <w:highlight w:val="none"/>
              </w:rPr>
            </w:pPr>
            <w:r>
              <w:rPr>
                <w:rFonts w:hint="eastAsia"/>
                <w:bCs/>
                <w:color w:val="auto"/>
                <w:sz w:val="24"/>
                <w:highlight w:val="none"/>
              </w:rPr>
              <w:t>技术参数</w:t>
            </w:r>
          </w:p>
          <w:p>
            <w:pPr>
              <w:widowControl/>
              <w:jc w:val="center"/>
              <w:rPr>
                <w:bCs/>
                <w:color w:val="auto"/>
                <w:sz w:val="24"/>
                <w:highlight w:val="none"/>
              </w:rPr>
            </w:pPr>
            <w:r>
              <w:rPr>
                <w:rFonts w:hint="eastAsia"/>
                <w:bCs/>
                <w:color w:val="auto"/>
                <w:sz w:val="24"/>
                <w:highlight w:val="none"/>
              </w:rPr>
              <w:t>响应</w:t>
            </w:r>
          </w:p>
        </w:tc>
        <w:tc>
          <w:tcPr>
            <w:tcW w:w="666" w:type="pct"/>
            <w:vAlign w:val="center"/>
          </w:tcPr>
          <w:p>
            <w:pPr>
              <w:widowControl/>
              <w:jc w:val="center"/>
              <w:rPr>
                <w:bCs/>
                <w:color w:val="auto"/>
                <w:sz w:val="24"/>
                <w:highlight w:val="none"/>
              </w:rPr>
            </w:pPr>
            <w:r>
              <w:rPr>
                <w:rFonts w:hint="eastAsia"/>
                <w:bCs/>
                <w:color w:val="auto"/>
                <w:sz w:val="24"/>
                <w:highlight w:val="none"/>
              </w:rPr>
              <w:t>偏离度</w:t>
            </w:r>
          </w:p>
        </w:tc>
        <w:tc>
          <w:tcPr>
            <w:tcW w:w="1212" w:type="pct"/>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546" w:type="pct"/>
            <w:vAlign w:val="center"/>
          </w:tcPr>
          <w:p>
            <w:pPr>
              <w:widowControl/>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9" w:hRule="exact"/>
        </w:trPr>
        <w:tc>
          <w:tcPr>
            <w:tcW w:w="5000" w:type="pct"/>
            <w:gridSpan w:val="7"/>
          </w:tcPr>
          <w:p>
            <w:pPr>
              <w:spacing w:line="276" w:lineRule="auto"/>
              <w:rPr>
                <w:bCs/>
                <w:color w:val="auto"/>
                <w:sz w:val="24"/>
                <w:highlight w:val="none"/>
              </w:rPr>
            </w:pPr>
            <w:r>
              <w:rPr>
                <w:rFonts w:hint="eastAsia"/>
                <w:bCs/>
                <w:color w:val="auto"/>
                <w:sz w:val="24"/>
                <w:highlight w:val="none"/>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rPr>
          <w:bCs/>
          <w:color w:val="auto"/>
          <w:highlight w:val="none"/>
        </w:rPr>
      </w:pPr>
    </w:p>
    <w:p>
      <w:pPr>
        <w:rPr>
          <w:bCs/>
          <w:color w:val="auto"/>
          <w:highlight w:val="none"/>
        </w:rPr>
      </w:pPr>
    </w:p>
    <w:p>
      <w:pPr>
        <w:spacing w:line="560" w:lineRule="exact"/>
        <w:ind w:firstLine="560" w:firstLineChars="200"/>
        <w:jc w:val="center"/>
        <w:rPr>
          <w:rFonts w:ascii="宋体" w:hAnsi="宋体" w:cs="宋体"/>
          <w:bCs/>
          <w:color w:val="auto"/>
          <w:sz w:val="28"/>
          <w:szCs w:val="28"/>
          <w:highlight w:val="none"/>
          <w:lang w:val="zh-CN"/>
        </w:rPr>
      </w:pPr>
      <w:r>
        <w:rPr>
          <w:bCs/>
          <w:color w:val="auto"/>
          <w:sz w:val="28"/>
          <w:szCs w:val="28"/>
          <w:highlight w:val="none"/>
          <w:lang w:val="zh-CN"/>
        </w:rPr>
        <w:t xml:space="preserve">        </w:t>
      </w: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ind w:firstLine="560" w:firstLineChars="200"/>
        <w:jc w:val="center"/>
        <w:rPr>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Cs w:val="0"/>
          <w:snapToGrid w:val="0"/>
          <w:color w:val="auto"/>
          <w:highlight w:val="none"/>
          <w:lang w:val="zh-CN"/>
        </w:rPr>
      </w:pPr>
      <w:r>
        <w:rPr>
          <w:rFonts w:hint="eastAsia"/>
          <w:b w:val="0"/>
          <w:color w:val="auto"/>
          <w:highlight w:val="none"/>
        </w:rPr>
        <w:t>附件</w:t>
      </w:r>
      <w:r>
        <w:rPr>
          <w:b w:val="0"/>
          <w:color w:val="auto"/>
          <w:highlight w:val="none"/>
        </w:rPr>
        <w:t xml:space="preserve">2-7 </w:t>
      </w:r>
      <w:r>
        <w:rPr>
          <w:rFonts w:hint="eastAsia"/>
          <w:b w:val="0"/>
          <w:color w:val="auto"/>
          <w:highlight w:val="none"/>
        </w:rPr>
        <w:t>交货清单</w:t>
      </w:r>
      <w:r>
        <w:rPr>
          <w:bCs w:val="0"/>
          <w:snapToGrid w:val="0"/>
          <w:color w:val="auto"/>
          <w:highlight w:val="none"/>
          <w:lang w:val="zh-CN"/>
        </w:rPr>
        <w:t xml:space="preserve"> </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r>
        <w:rPr>
          <w:color w:val="auto"/>
          <w:sz w:val="28"/>
          <w:szCs w:val="28"/>
          <w:highlight w:val="non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227"/>
        <w:gridCol w:w="949"/>
        <w:gridCol w:w="1034"/>
        <w:gridCol w:w="1106"/>
        <w:gridCol w:w="754"/>
        <w:gridCol w:w="754"/>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64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560" w:lineRule="exact"/>
        <w:ind w:firstLine="560" w:firstLineChars="200"/>
        <w:jc w:val="center"/>
        <w:rPr>
          <w:rFonts w:ascii="宋体" w:hAnsi="宋体" w:cs="宋体"/>
          <w:bCs/>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jc w:val="center"/>
        <w:rPr>
          <w:color w:val="auto"/>
          <w:sz w:val="28"/>
          <w:szCs w:val="28"/>
          <w:highlight w:val="none"/>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17"/>
        <w:rPr>
          <w:color w:val="auto"/>
          <w:highlight w:val="none"/>
        </w:rPr>
      </w:pPr>
      <w:r>
        <w:rPr>
          <w:color w:val="auto"/>
          <w:highlight w:val="none"/>
        </w:rPr>
        <w:br w:type="page"/>
      </w:r>
    </w:p>
    <w:p>
      <w:pPr>
        <w:pStyle w:val="6"/>
        <w:spacing w:before="120" w:beforeLines="50" w:after="120" w:afterLines="50" w:line="560" w:lineRule="exact"/>
        <w:rPr>
          <w:b w:val="0"/>
          <w:color w:val="auto"/>
          <w:highlight w:val="none"/>
        </w:rPr>
      </w:pPr>
      <w:bookmarkStart w:id="416" w:name="_Toc2915"/>
      <w:bookmarkStart w:id="417" w:name="_Toc19793"/>
      <w:bookmarkStart w:id="418" w:name="_Toc9205"/>
      <w:bookmarkStart w:id="419" w:name="_Toc29394"/>
      <w:bookmarkStart w:id="420" w:name="_Toc895"/>
      <w:bookmarkStart w:id="421" w:name="_Toc22641"/>
      <w:bookmarkStart w:id="422" w:name="_Toc1560"/>
      <w:bookmarkStart w:id="423" w:name="_Toc27651"/>
      <w:bookmarkStart w:id="424" w:name="_Toc12480"/>
      <w:bookmarkStart w:id="425" w:name="_Toc5412"/>
      <w:r>
        <w:rPr>
          <w:rFonts w:hint="eastAsia"/>
          <w:b w:val="0"/>
          <w:color w:val="auto"/>
          <w:highlight w:val="none"/>
        </w:rPr>
        <w:t>※附件</w:t>
      </w:r>
      <w:r>
        <w:rPr>
          <w:b w:val="0"/>
          <w:color w:val="auto"/>
          <w:highlight w:val="none"/>
        </w:rPr>
        <w:t xml:space="preserve">2-8 </w:t>
      </w:r>
      <w:r>
        <w:rPr>
          <w:rFonts w:hint="eastAsia"/>
          <w:b w:val="0"/>
          <w:color w:val="auto"/>
          <w:highlight w:val="none"/>
        </w:rPr>
        <w:t>易损易耗件清单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275"/>
        <w:gridCol w:w="1134"/>
        <w:gridCol w:w="851"/>
        <w:gridCol w:w="1276"/>
        <w:gridCol w:w="1134"/>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ind w:firstLine="420" w:firstLineChars="200"/>
        <w:rPr>
          <w:bCs/>
          <w:color w:val="auto"/>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r>
        <w:rPr>
          <w:rFonts w:hint="eastAsia"/>
          <w:b w:val="0"/>
          <w:color w:val="auto"/>
          <w:highlight w:val="none"/>
        </w:rPr>
        <w:t>附件</w:t>
      </w:r>
      <w:r>
        <w:rPr>
          <w:b w:val="0"/>
          <w:color w:val="auto"/>
          <w:highlight w:val="none"/>
        </w:rPr>
        <w:t xml:space="preserve">2-9 </w:t>
      </w:r>
      <w:r>
        <w:rPr>
          <w:rFonts w:hint="eastAsia"/>
          <w:b w:val="0"/>
          <w:color w:val="auto"/>
          <w:highlight w:val="none"/>
        </w:rPr>
        <w:t>售后服务方案</w:t>
      </w:r>
      <w:bookmarkEnd w:id="416"/>
      <w:bookmarkEnd w:id="417"/>
      <w:bookmarkEnd w:id="418"/>
      <w:bookmarkEnd w:id="419"/>
      <w:bookmarkEnd w:id="42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rPr>
          <w:b w:val="0"/>
          <w:color w:val="auto"/>
          <w:highlight w:val="none"/>
        </w:rPr>
      </w:pPr>
      <w:r>
        <w:rPr>
          <w:b w:val="0"/>
          <w:color w:val="auto"/>
          <w:highlight w:val="none"/>
          <w:lang w:val="zh-CN"/>
        </w:rPr>
        <w:br w:type="page"/>
      </w:r>
      <w:bookmarkStart w:id="426" w:name="_Toc18148"/>
      <w:bookmarkStart w:id="427" w:name="_Toc8237"/>
      <w:bookmarkStart w:id="428" w:name="_Toc20867"/>
      <w:bookmarkStart w:id="429" w:name="_Toc19170"/>
      <w:bookmarkStart w:id="430" w:name="_Toc27617"/>
      <w:r>
        <w:rPr>
          <w:rFonts w:hint="eastAsia"/>
          <w:b w:val="0"/>
          <w:color w:val="auto"/>
          <w:highlight w:val="none"/>
        </w:rPr>
        <w:t>※附件</w:t>
      </w:r>
      <w:r>
        <w:rPr>
          <w:b w:val="0"/>
          <w:color w:val="auto"/>
          <w:highlight w:val="none"/>
        </w:rPr>
        <w:t xml:space="preserve">2-10 </w:t>
      </w:r>
      <w:r>
        <w:rPr>
          <w:rFonts w:hint="eastAsia"/>
          <w:b w:val="0"/>
          <w:color w:val="auto"/>
          <w:highlight w:val="none"/>
        </w:rPr>
        <w:t>技术方案和所投标产品技术支持</w:t>
      </w:r>
      <w:r>
        <w:rPr>
          <w:rFonts w:hint="eastAsia" w:ascii="宋体" w:hAnsi="宋体"/>
          <w:b w:val="0"/>
          <w:color w:val="auto"/>
          <w:highlight w:val="none"/>
        </w:rPr>
        <w:t>材料</w:t>
      </w:r>
      <w:bookmarkEnd w:id="426"/>
      <w:bookmarkEnd w:id="427"/>
      <w:bookmarkEnd w:id="428"/>
      <w:bookmarkEnd w:id="429"/>
      <w:bookmarkEnd w:id="430"/>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431" w:name="_Toc285612608"/>
      <w:r>
        <w:rPr>
          <w:rFonts w:hint="eastAsia" w:ascii="黑体" w:hAnsi="黑体" w:eastAsia="黑体" w:cs="黑体"/>
          <w:bCs/>
          <w:color w:val="auto"/>
          <w:sz w:val="36"/>
          <w:szCs w:val="36"/>
          <w:highlight w:val="none"/>
          <w:lang w:val="zh-CN"/>
        </w:rPr>
        <w:t>技术方案</w:t>
      </w:r>
      <w:bookmarkEnd w:id="431"/>
      <w:r>
        <w:rPr>
          <w:rFonts w:hint="eastAsia" w:ascii="黑体" w:hAnsi="黑体" w:eastAsia="黑体" w:cs="黑体"/>
          <w:bCs/>
          <w:color w:val="auto"/>
          <w:sz w:val="36"/>
          <w:szCs w:val="36"/>
          <w:highlight w:val="none"/>
          <w:lang w:val="zh-CN"/>
        </w:rPr>
        <w:t>和所投标产品技术支持材料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（由投标供应商自行拟制技术方案，并按技术评审标准附相关证明材料，例如：生产、加工、制造、工艺控制及质量控制等。）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before="120" w:beforeLines="50" w:after="120" w:afterLines="50" w:line="560" w:lineRule="exact"/>
        <w:rPr>
          <w:b w:val="0"/>
          <w:color w:val="auto"/>
          <w:highlight w:val="none"/>
          <w:lang w:val="zh-CN"/>
        </w:rPr>
      </w:pPr>
      <w:r>
        <w:rPr>
          <w:b w:val="0"/>
          <w:color w:val="auto"/>
          <w:highlight w:val="none"/>
          <w:lang w:val="zh-CN"/>
        </w:rPr>
        <w:br w:type="page"/>
      </w:r>
      <w:bookmarkStart w:id="432" w:name="_Toc7882"/>
      <w:bookmarkStart w:id="433" w:name="_Toc12730"/>
      <w:bookmarkStart w:id="434" w:name="_Toc4425"/>
      <w:bookmarkStart w:id="435" w:name="_Toc6028"/>
      <w:bookmarkStart w:id="436" w:name="_Toc9408"/>
      <w:r>
        <w:rPr>
          <w:rFonts w:hint="eastAsia"/>
          <w:b w:val="0"/>
          <w:color w:val="auto"/>
          <w:highlight w:val="none"/>
        </w:rPr>
        <w:t>※附件</w:t>
      </w:r>
      <w:r>
        <w:rPr>
          <w:b w:val="0"/>
          <w:color w:val="auto"/>
          <w:highlight w:val="none"/>
        </w:rPr>
        <w:t xml:space="preserve">2-11 </w:t>
      </w:r>
      <w:r>
        <w:rPr>
          <w:rFonts w:hint="eastAsia"/>
          <w:b w:val="0"/>
          <w:color w:val="auto"/>
          <w:highlight w:val="none"/>
        </w:rPr>
        <w:t>投标产品关键生产设备统计表</w:t>
      </w:r>
      <w:bookmarkEnd w:id="432"/>
      <w:bookmarkEnd w:id="433"/>
      <w:bookmarkEnd w:id="434"/>
      <w:bookmarkEnd w:id="435"/>
      <w:bookmarkEnd w:id="436"/>
    </w:p>
    <w:tbl>
      <w:tblPr>
        <w:tblStyle w:val="42"/>
        <w:tblW w:w="0" w:type="auto"/>
        <w:tblInd w:w="91" w:type="dxa"/>
        <w:tblLayout w:type="autofit"/>
        <w:tblCellMar>
          <w:top w:w="0" w:type="dxa"/>
          <w:left w:w="108" w:type="dxa"/>
          <w:bottom w:w="0" w:type="dxa"/>
          <w:right w:w="108" w:type="dxa"/>
        </w:tblCellMar>
      </w:tblPr>
      <w:tblGrid>
        <w:gridCol w:w="1870"/>
        <w:gridCol w:w="841"/>
        <w:gridCol w:w="2038"/>
        <w:gridCol w:w="1010"/>
        <w:gridCol w:w="2038"/>
        <w:gridCol w:w="841"/>
        <w:gridCol w:w="841"/>
      </w:tblGrid>
      <w:tr>
        <w:tblPrEx>
          <w:tblCellMar>
            <w:top w:w="0" w:type="dxa"/>
            <w:left w:w="108" w:type="dxa"/>
            <w:bottom w:w="0" w:type="dxa"/>
            <w:right w:w="108" w:type="dxa"/>
          </w:tblCellMar>
        </w:tblPrEx>
        <w:trPr>
          <w:trHeight w:val="852" w:hRule="atLeast"/>
        </w:trPr>
        <w:tc>
          <w:tcPr>
            <w:tcW w:w="0" w:type="auto"/>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投标产品关键生产设备统计表</w:t>
            </w:r>
          </w:p>
        </w:tc>
      </w:tr>
      <w:tr>
        <w:tblPrEx>
          <w:tblCellMar>
            <w:top w:w="0" w:type="dxa"/>
            <w:left w:w="108" w:type="dxa"/>
            <w:bottom w:w="0" w:type="dxa"/>
            <w:right w:w="108" w:type="dxa"/>
          </w:tblCellMar>
        </w:tblPrEx>
        <w:trPr>
          <w:trHeight w:val="744"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left"/>
              <w:rPr>
                <w:rFonts w:ascii="宋体" w:hAnsi="宋体" w:cs="宋体"/>
                <w:bCs/>
                <w:color w:val="auto"/>
                <w:sz w:val="24"/>
                <w:highlight w:val="none"/>
              </w:rPr>
            </w:pPr>
            <w:r>
              <w:rPr>
                <w:rFonts w:hint="eastAsia" w:ascii="黑体" w:hAnsi="黑体" w:eastAsia="黑体" w:cs="黑体"/>
                <w:bCs/>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-88265</wp:posOffset>
                      </wp:positionH>
                      <wp:positionV relativeFrom="paragraph">
                        <wp:posOffset>13335</wp:posOffset>
                      </wp:positionV>
                      <wp:extent cx="1216025" cy="457200"/>
                      <wp:effectExtent l="0" t="0" r="22225" b="1905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216025" cy="45720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95pt;margin-top:1.05pt;height:36pt;width:95.75pt;z-index:251661312;mso-width-relative:page;mso-height-relative:page;" filled="f" stroked="t" coordsize="21600,21600" o:gfxdata="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pWve1wAAAAgBAAAPAAAAAAAAAAEAIAAAACIAAABkcnMvZG93bnJldi54bWxQ&#10;SwECFAAUAAAACACHTuJA0t45cPgBAADDAwAADgAAAAAAAAABACAAAAAmAQAAZHJzL2Uyb0RvYy54&#10;bWxQSwUGAAAAAAYABgBZAQAAkAUAAAAA&#10;">
                      <v:fill on="f" focussize="0,0"/>
                      <v:stroke color="#000000" joinstyle="round"/>
                      <v:imagedata o:title=""/>
                      <o:lock v:ext="edit" aspectratio="f"/>
                    </v:shape>
                  </w:pict>
                </mc:Fallback>
              </mc:AlternateContent>
            </w:r>
            <w:r>
              <w:rPr>
                <w:rFonts w:ascii="宋体" w:hAnsi="宋体" w:cs="宋体"/>
                <w:bCs/>
                <w:color w:val="auto"/>
                <w:sz w:val="24"/>
                <w:highlight w:val="none"/>
              </w:rPr>
              <w:t xml:space="preserve">     项目     </w:t>
            </w:r>
          </w:p>
          <w:p>
            <w:pPr>
              <w:widowControl/>
              <w:jc w:val="left"/>
              <w:rPr>
                <w:rFonts w:ascii="宋体" w:hAnsi="宋体" w:cs="宋体"/>
                <w:bCs/>
                <w:color w:val="auto"/>
                <w:sz w:val="24"/>
                <w:highlight w:val="none"/>
              </w:rPr>
            </w:pPr>
            <w:r>
              <w:rPr>
                <w:rFonts w:hint="eastAsia" w:ascii="宋体" w:hAnsi="宋体" w:cs="宋体"/>
                <w:bCs/>
                <w:color w:val="auto"/>
                <w:sz w:val="24"/>
                <w:highlight w:val="none"/>
              </w:rPr>
              <w:t>设备名称</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购买</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年月</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设备原值（万元）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折旧率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设备净值（万元）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汇率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40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33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3939" w:hRule="atLeast"/>
        </w:trPr>
        <w:tc>
          <w:tcPr>
            <w:tcW w:w="0" w:type="auto"/>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bCs/>
                <w:color w:val="auto"/>
                <w:sz w:val="24"/>
                <w:highlight w:val="none"/>
              </w:rPr>
              <w:t>说明：</w:t>
            </w:r>
            <w:r>
              <w:rPr>
                <w:rFonts w:ascii="宋体" w:hAnsi="宋体" w:cs="宋体"/>
                <w:bCs/>
                <w:color w:val="auto"/>
                <w:sz w:val="24"/>
                <w:highlight w:val="none"/>
              </w:rPr>
              <w:br w:type="textWrapping"/>
            </w:r>
            <w:r>
              <w:rPr>
                <w:rFonts w:ascii="宋体" w:hAnsi="宋体" w:cs="宋体"/>
                <w:bCs/>
                <w:color w:val="auto"/>
                <w:sz w:val="24"/>
                <w:highlight w:val="none"/>
              </w:rPr>
              <w:t xml:space="preserve">    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年内的相关设备相关材料，投标截止时间当年度购买的设备净值按</w:t>
            </w:r>
            <w:r>
              <w:rPr>
                <w:rFonts w:ascii="宋体" w:hAnsi="宋体" w:cs="宋体"/>
                <w:bCs/>
                <w:color w:val="auto"/>
                <w:sz w:val="24"/>
                <w:highlight w:val="none"/>
              </w:rPr>
              <w:t>100%计算（投标截止时间前3个月后购买的设备无效），每向前一个年度折旧率递增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r>
              <w:rPr>
                <w:rFonts w:ascii="宋体" w:hAnsi="宋体" w:cs="宋体"/>
                <w:bCs/>
                <w:color w:val="auto"/>
                <w:sz w:val="24"/>
                <w:highlight w:val="none"/>
              </w:rPr>
              <w:br w:type="textWrapping"/>
            </w:r>
            <w:r>
              <w:rPr>
                <w:rFonts w:ascii="宋体" w:hAnsi="宋体" w:cs="宋体"/>
                <w:bCs/>
                <w:color w:val="auto"/>
                <w:sz w:val="24"/>
                <w:highlight w:val="none"/>
              </w:rPr>
              <w:t xml:space="preserve">    2.进口设备需填写设备购买当年12月31日汇率，并按照该汇率计算设备购买金额。</w:t>
            </w:r>
            <w:r>
              <w:rPr>
                <w:rFonts w:ascii="宋体" w:hAnsi="宋体" w:cs="宋体"/>
                <w:bCs/>
                <w:color w:val="auto"/>
                <w:sz w:val="24"/>
                <w:highlight w:val="none"/>
              </w:rPr>
              <w:br w:type="textWrapping"/>
            </w:r>
            <w:r>
              <w:rPr>
                <w:rFonts w:ascii="宋体" w:hAnsi="宋体" w:cs="宋体"/>
                <w:bCs/>
                <w:color w:val="auto"/>
                <w:sz w:val="24"/>
                <w:highlight w:val="none"/>
              </w:rPr>
              <w:t xml:space="preserve">    3.设备净值＝设备原值－设备原值*折旧率。</w:t>
            </w:r>
            <w:r>
              <w:rPr>
                <w:rFonts w:ascii="宋体" w:hAnsi="宋体" w:cs="宋体"/>
                <w:bCs/>
                <w:color w:val="auto"/>
                <w:sz w:val="24"/>
                <w:highlight w:val="none"/>
              </w:rPr>
              <w:br w:type="textWrapping"/>
            </w:r>
            <w:r>
              <w:rPr>
                <w:rFonts w:ascii="宋体" w:hAnsi="宋体" w:cs="宋体"/>
                <w:bCs/>
                <w:color w:val="auto"/>
                <w:sz w:val="24"/>
                <w:highlight w:val="none"/>
              </w:rPr>
              <w:t xml:space="preserve">    4.每种设备均需附购置票据复印件，进口设备需附进口报关单复印件，复印件不清晰的视为无效设备。</w:t>
            </w:r>
            <w:r>
              <w:rPr>
                <w:rFonts w:ascii="宋体" w:hAnsi="宋体" w:cs="宋体"/>
                <w:bCs/>
                <w:color w:val="auto"/>
                <w:sz w:val="24"/>
                <w:highlight w:val="none"/>
              </w:rPr>
              <w:br w:type="textWrapping"/>
            </w:r>
            <w:r>
              <w:rPr>
                <w:rFonts w:ascii="宋体" w:hAnsi="宋体" w:cs="宋体"/>
                <w:bCs/>
                <w:color w:val="auto"/>
                <w:sz w:val="24"/>
                <w:highlight w:val="none"/>
              </w:rPr>
              <w:t xml:space="preserve">    5.“页码”栏中填写该设备证明材料所在“商务技术文件”中的页码位置。</w:t>
            </w:r>
            <w:r>
              <w:rPr>
                <w:rFonts w:ascii="宋体" w:hAnsi="宋体" w:cs="宋体"/>
                <w:bCs/>
                <w:color w:val="auto"/>
                <w:sz w:val="24"/>
                <w:highlight w:val="none"/>
              </w:rPr>
              <w:br w:type="textWrapping"/>
            </w:r>
            <w:r>
              <w:rPr>
                <w:rFonts w:ascii="宋体" w:hAnsi="宋体" w:cs="宋体"/>
                <w:bCs/>
                <w:color w:val="auto"/>
                <w:sz w:val="24"/>
                <w:highlight w:val="none"/>
              </w:rP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37" w:name="_Toc16214"/>
      <w:bookmarkStart w:id="438" w:name="_Toc8834"/>
      <w:bookmarkStart w:id="439" w:name="_Toc30604"/>
      <w:bookmarkStart w:id="440" w:name="_Toc18762"/>
      <w:bookmarkStart w:id="441" w:name="_Toc11724"/>
      <w:r>
        <w:rPr>
          <w:rFonts w:hint="eastAsia"/>
          <w:b w:val="0"/>
          <w:color w:val="auto"/>
          <w:highlight w:val="none"/>
        </w:rPr>
        <w:t>※附件</w:t>
      </w:r>
      <w:r>
        <w:rPr>
          <w:b w:val="0"/>
          <w:color w:val="auto"/>
          <w:highlight w:val="none"/>
        </w:rPr>
        <w:t xml:space="preserve">2-12 </w:t>
      </w:r>
      <w:r>
        <w:rPr>
          <w:rFonts w:hint="eastAsia"/>
          <w:b w:val="0"/>
          <w:color w:val="auto"/>
          <w:highlight w:val="none"/>
        </w:rPr>
        <w:t>技术力量清单及证明材料</w:t>
      </w:r>
      <w:bookmarkEnd w:id="437"/>
      <w:bookmarkEnd w:id="438"/>
      <w:bookmarkEnd w:id="439"/>
      <w:bookmarkEnd w:id="440"/>
      <w:bookmarkEnd w:id="44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（由投标供应商根据项目需求及技术评审标准表中“技术力量”评审标准自行拟定，并后附评审标准要求的证明</w:t>
      </w:r>
      <w:r>
        <w:rPr>
          <w:rFonts w:hint="eastAsia" w:ascii="宋体" w:hAnsi="宋体"/>
          <w:bCs/>
          <w:color w:val="auto"/>
          <w:sz w:val="28"/>
          <w:szCs w:val="28"/>
          <w:highlight w:val="none"/>
        </w:rPr>
        <w:t>材料。</w:t>
      </w:r>
      <w:r>
        <w:rPr>
          <w:rFonts w:hint="eastAsia"/>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spacing w:line="560" w:lineRule="exact"/>
        <w:ind w:firstLine="560" w:firstLineChars="200"/>
        <w:jc w:val="center"/>
        <w:rPr>
          <w:rFonts w:eastAsia="黑体"/>
          <w:bCs/>
          <w:color w:val="auto"/>
          <w:sz w:val="28"/>
          <w:szCs w:val="28"/>
          <w:highlight w:val="none"/>
        </w:rPr>
      </w:pPr>
      <w:r>
        <w:rPr>
          <w:bCs/>
          <w:color w:val="auto"/>
          <w:sz w:val="28"/>
          <w:szCs w:val="28"/>
          <w:highlight w:val="none"/>
          <w:lang w:val="zh-CN"/>
        </w:rPr>
        <w:t xml:space="preserve">   </w:t>
      </w:r>
    </w:p>
    <w:p>
      <w:pPr>
        <w:ind w:firstLine="560" w:firstLineChars="200"/>
        <w:jc w:val="center"/>
        <w:rPr>
          <w:bCs/>
          <w:color w:val="auto"/>
          <w:sz w:val="36"/>
          <w:szCs w:val="36"/>
          <w:highlight w:val="none"/>
        </w:rPr>
      </w:pPr>
      <w:r>
        <w:rPr>
          <w:bCs/>
          <w:snapToGrid w:val="0"/>
          <w:color w:val="auto"/>
          <w:sz w:val="28"/>
          <w:szCs w:val="28"/>
          <w:highlight w:val="none"/>
          <w:lang w:val="zh-CN"/>
        </w:rPr>
        <w:br w:type="page"/>
      </w:r>
    </w:p>
    <w:p>
      <w:pPr>
        <w:pStyle w:val="6"/>
        <w:spacing w:before="120" w:beforeLines="50" w:after="120" w:afterLines="50" w:line="560" w:lineRule="exact"/>
        <w:rPr>
          <w:rFonts w:ascii="宋体" w:hAnsi="宋体"/>
          <w:b w:val="0"/>
          <w:color w:val="auto"/>
          <w:highlight w:val="none"/>
        </w:rPr>
      </w:pPr>
      <w:bookmarkStart w:id="442" w:name="_Toc19897"/>
      <w:bookmarkStart w:id="443" w:name="_Toc23536"/>
      <w:bookmarkStart w:id="444" w:name="_Toc25244"/>
      <w:bookmarkStart w:id="445" w:name="_Toc5787"/>
      <w:bookmarkStart w:id="446" w:name="_Toc299"/>
      <w:r>
        <w:rPr>
          <w:rFonts w:hint="eastAsia"/>
          <w:b w:val="0"/>
          <w:color w:val="auto"/>
          <w:highlight w:val="none"/>
        </w:rPr>
        <w:t>※附件</w:t>
      </w:r>
      <w:r>
        <w:rPr>
          <w:b w:val="0"/>
          <w:color w:val="auto"/>
          <w:highlight w:val="none"/>
        </w:rPr>
        <w:t>2-13</w:t>
      </w:r>
      <w:r>
        <w:rPr>
          <w:rFonts w:hint="eastAsia"/>
          <w:b w:val="0"/>
          <w:color w:val="auto"/>
          <w:highlight w:val="none"/>
        </w:rPr>
        <w:t>同类项目</w:t>
      </w:r>
      <w:bookmarkEnd w:id="442"/>
      <w:bookmarkEnd w:id="443"/>
      <w:bookmarkEnd w:id="444"/>
      <w:bookmarkEnd w:id="445"/>
      <w:bookmarkEnd w:id="446"/>
      <w:r>
        <w:rPr>
          <w:rFonts w:hint="eastAsia"/>
          <w:b w:val="0"/>
          <w:color w:val="auto"/>
          <w:highlight w:val="none"/>
        </w:rPr>
        <w:t>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8"/>
        <w:gridCol w:w="1101"/>
        <w:gridCol w:w="1726"/>
        <w:gridCol w:w="1558"/>
        <w:gridCol w:w="696"/>
        <w:gridCol w:w="1529"/>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w:t>
            </w:r>
          </w:p>
          <w:p>
            <w:pPr>
              <w:jc w:val="center"/>
              <w:rPr>
                <w:bCs/>
                <w:color w:val="auto"/>
                <w:sz w:val="24"/>
                <w:highlight w:val="none"/>
              </w:rPr>
            </w:pPr>
            <w:r>
              <w:rPr>
                <w:rFonts w:hint="eastAsia"/>
                <w:bCs/>
                <w:color w:val="auto"/>
                <w:sz w:val="24"/>
                <w:highlight w:val="none"/>
              </w:rPr>
              <w:t>名称</w:t>
            </w:r>
          </w:p>
        </w:tc>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p>
            <w:pPr>
              <w:jc w:val="center"/>
              <w:rPr>
                <w:bCs/>
                <w:color w:val="auto"/>
                <w:sz w:val="24"/>
                <w:highlight w:val="none"/>
              </w:rPr>
            </w:pPr>
            <w:r>
              <w:rPr>
                <w:rFonts w:hint="eastAsia"/>
                <w:bCs/>
                <w:color w:val="auto"/>
                <w:sz w:val="24"/>
                <w:highlight w:val="none"/>
              </w:rPr>
              <w:t>名称</w:t>
            </w:r>
          </w:p>
        </w:tc>
        <w:tc>
          <w:tcPr>
            <w:tcW w:w="172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项目内容</w:t>
            </w: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合同有效金额（万元）</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签订日期</w:t>
            </w:r>
          </w:p>
        </w:tc>
        <w:tc>
          <w:tcPr>
            <w:tcW w:w="152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用户联系人及电话</w:t>
            </w:r>
          </w:p>
        </w:tc>
        <w:tc>
          <w:tcPr>
            <w:tcW w:w="10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8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3" w:hRule="exact"/>
        </w:trPr>
        <w:tc>
          <w:tcPr>
            <w:tcW w:w="9356" w:type="dxa"/>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1.同类项目指本次招标的产品或同类产品</w:t>
            </w:r>
            <w:r>
              <w:rPr>
                <w:rFonts w:hint="eastAsia" w:ascii="宋体" w:hAnsi="宋体"/>
                <w:bCs/>
                <w:color w:val="auto"/>
                <w:sz w:val="28"/>
                <w:szCs w:val="28"/>
                <w:highlight w:val="none"/>
              </w:rPr>
              <w:t>，</w:t>
            </w:r>
            <w:r>
              <w:rPr>
                <w:rFonts w:ascii="宋体" w:hAnsi="宋体" w:cs="宋体"/>
                <w:bCs/>
                <w:color w:val="auto"/>
                <w:sz w:val="24"/>
                <w:highlight w:val="none"/>
              </w:rPr>
              <w:t>具体在评审标准中明确范围。合同有效金额是指合同中本次招标的</w:t>
            </w:r>
            <w:r>
              <w:rPr>
                <w:rFonts w:hint="eastAsia" w:ascii="宋体" w:hAnsi="宋体" w:cs="宋体"/>
                <w:bCs/>
                <w:color w:val="auto"/>
                <w:sz w:val="24"/>
                <w:highlight w:val="none"/>
              </w:rPr>
              <w:t>相同</w:t>
            </w:r>
            <w:r>
              <w:rPr>
                <w:rFonts w:ascii="宋体" w:hAnsi="宋体" w:cs="宋体"/>
                <w:bCs/>
                <w:color w:val="auto"/>
                <w:sz w:val="24"/>
                <w:highlight w:val="none"/>
              </w:rPr>
              <w:t>产品或同类产品金额。</w:t>
            </w:r>
            <w:r>
              <w:rPr>
                <w:rFonts w:hint="eastAsia" w:ascii="黑体" w:hAnsi="黑体" w:eastAsia="黑体" w:cs="宋体"/>
                <w:bCs/>
                <w:color w:val="auto"/>
                <w:sz w:val="24"/>
                <w:highlight w:val="none"/>
              </w:rPr>
              <w:t>该表严格按照《商务评审标准表》明确的相关要求填报。</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w:t>
            </w:r>
            <w:r>
              <w:rPr>
                <w:rFonts w:hint="eastAsia"/>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r>
              <w:rPr>
                <w:rFonts w:ascii="宋体" w:hAnsi="宋体" w:cs="宋体"/>
                <w:bCs/>
                <w:color w:val="auto"/>
                <w:sz w:val="24"/>
                <w:highlight w:val="none"/>
              </w:rPr>
              <w:t>。</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5.投标供应商提供虚假合同的，按虚假投标处理。</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6</w:t>
            </w:r>
            <w:r>
              <w:rPr>
                <w:rFonts w:hint="eastAsia" w:ascii="宋体" w:hAnsi="宋体" w:cs="宋体"/>
                <w:bCs/>
                <w:color w:val="auto"/>
                <w:sz w:val="24"/>
                <w:highlight w:val="none"/>
              </w:rPr>
              <w:t>.合同中涉及</w:t>
            </w:r>
            <w:r>
              <w:rPr>
                <w:rFonts w:ascii="宋体" w:hAnsi="宋体" w:cs="宋体"/>
                <w:bCs/>
                <w:color w:val="auto"/>
                <w:sz w:val="24"/>
                <w:highlight w:val="none"/>
              </w:rPr>
              <w:t>总价、单价</w:t>
            </w:r>
            <w:r>
              <w:rPr>
                <w:rFonts w:hint="eastAsia" w:ascii="宋体" w:hAnsi="宋体" w:cs="宋体"/>
                <w:bCs/>
                <w:color w:val="auto"/>
                <w:sz w:val="24"/>
                <w:highlight w:val="none"/>
              </w:rPr>
              <w:t>、</w:t>
            </w:r>
            <w:r>
              <w:rPr>
                <w:rFonts w:ascii="宋体" w:hAnsi="宋体" w:cs="宋体"/>
                <w:bCs/>
                <w:color w:val="auto"/>
                <w:sz w:val="24"/>
                <w:highlight w:val="none"/>
              </w:rPr>
              <w:t>规格、</w:t>
            </w:r>
            <w:r>
              <w:rPr>
                <w:rFonts w:hint="eastAsia" w:ascii="宋体" w:hAnsi="宋体" w:cs="宋体"/>
                <w:bCs/>
                <w:color w:val="auto"/>
                <w:sz w:val="24"/>
                <w:highlight w:val="none"/>
              </w:rPr>
              <w:t>缔约方</w:t>
            </w:r>
            <w:r>
              <w:rPr>
                <w:rFonts w:ascii="宋体" w:hAnsi="宋体" w:cs="宋体"/>
                <w:bCs/>
                <w:color w:val="auto"/>
                <w:sz w:val="24"/>
                <w:highlight w:val="none"/>
              </w:rPr>
              <w:t>签字盖章</w:t>
            </w:r>
            <w:r>
              <w:rPr>
                <w:rFonts w:hint="eastAsia" w:ascii="宋体" w:hAnsi="宋体" w:cs="宋体"/>
                <w:bCs/>
                <w:color w:val="auto"/>
                <w:sz w:val="24"/>
                <w:highlight w:val="none"/>
              </w:rPr>
              <w:t>等</w:t>
            </w:r>
            <w:r>
              <w:rPr>
                <w:rFonts w:ascii="宋体" w:hAnsi="宋体" w:cs="宋体"/>
                <w:bCs/>
                <w:color w:val="auto"/>
                <w:sz w:val="24"/>
                <w:highlight w:val="none"/>
              </w:rPr>
              <w:t>关键</w:t>
            </w:r>
            <w:r>
              <w:rPr>
                <w:rFonts w:hint="eastAsia" w:ascii="宋体" w:hAnsi="宋体" w:cs="宋体"/>
                <w:bCs/>
                <w:color w:val="auto"/>
                <w:sz w:val="24"/>
                <w:highlight w:val="none"/>
              </w:rPr>
              <w:t>信息</w:t>
            </w:r>
            <w:r>
              <w:rPr>
                <w:rFonts w:hint="eastAsia"/>
                <w:color w:val="auto"/>
                <w:sz w:val="24"/>
                <w:highlight w:val="none"/>
              </w:rPr>
              <w:t>应当</w:t>
            </w:r>
            <w:r>
              <w:rPr>
                <w:rFonts w:ascii="宋体" w:hAnsi="宋体" w:cs="宋体"/>
                <w:bCs/>
                <w:color w:val="auto"/>
                <w:sz w:val="24"/>
                <w:highlight w:val="none"/>
              </w:rPr>
              <w:t>清晰可</w:t>
            </w:r>
            <w:r>
              <w:rPr>
                <w:rFonts w:hint="eastAsia" w:ascii="宋体" w:hAnsi="宋体" w:cs="宋体"/>
                <w:bCs/>
                <w:color w:val="auto"/>
                <w:sz w:val="24"/>
                <w:highlight w:val="none"/>
              </w:rPr>
              <w:t>辨</w:t>
            </w:r>
            <w:r>
              <w:rPr>
                <w:rFonts w:ascii="宋体" w:hAnsi="宋体" w:cs="宋体"/>
                <w:bCs/>
                <w:color w:val="auto"/>
                <w:sz w:val="24"/>
                <w:highlight w:val="none"/>
              </w:rPr>
              <w:t>，否则视为无效合同</w:t>
            </w:r>
            <w:r>
              <w:rPr>
                <w:rFonts w:hint="eastAsia" w:ascii="宋体" w:hAnsi="宋体" w:cs="宋体"/>
                <w:bCs/>
                <w:color w:val="auto"/>
                <w:sz w:val="24"/>
                <w:highlight w:val="none"/>
              </w:rPr>
              <w:t>。</w:t>
            </w:r>
          </w:p>
          <w:p>
            <w:pPr>
              <w:jc w:val="center"/>
              <w:rPr>
                <w:bCs/>
                <w:color w:val="auto"/>
                <w:sz w:val="24"/>
                <w:highlight w:val="none"/>
              </w:rPr>
            </w:pPr>
          </w:p>
        </w:tc>
      </w:tr>
    </w:tbl>
    <w:p>
      <w:pPr>
        <w:spacing w:line="560" w:lineRule="exact"/>
        <w:rPr>
          <w:bCs/>
          <w:color w:val="auto"/>
          <w:sz w:val="28"/>
          <w:szCs w:val="28"/>
          <w:highlight w:val="none"/>
          <w:lang w:val="zh-CN"/>
        </w:rPr>
      </w:pPr>
      <w:r>
        <w:rPr>
          <w:bCs/>
          <w:color w:val="auto"/>
          <w:sz w:val="28"/>
          <w:szCs w:val="28"/>
          <w:highlight w:val="none"/>
          <w:lang w:val="zh-CN"/>
        </w:rPr>
        <w:t xml:space="preserve">    </w:t>
      </w:r>
    </w:p>
    <w:p>
      <w:pPr>
        <w:spacing w:line="560" w:lineRule="exact"/>
        <w:ind w:firstLine="560" w:firstLineChars="200"/>
        <w:jc w:val="center"/>
        <w:rPr>
          <w:bCs/>
          <w:color w:val="auto"/>
          <w:sz w:val="28"/>
          <w:szCs w:val="28"/>
          <w:highlight w:val="none"/>
        </w:rPr>
      </w:pPr>
      <w:r>
        <w:rPr>
          <w:rFonts w:hint="eastAsia"/>
          <w:bCs/>
          <w:color w:val="auto"/>
          <w:sz w:val="28"/>
          <w:szCs w:val="28"/>
          <w:highlight w:val="none"/>
          <w:lang w:val="zh-CN"/>
        </w:rPr>
        <w:t xml:space="preserve"> </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snapToGrid w:val="0"/>
          <w:color w:val="auto"/>
          <w:highlight w:val="none"/>
          <w:lang w:val="zh-CN"/>
        </w:rPr>
      </w:pPr>
      <w:r>
        <w:rPr>
          <w:rFonts w:hint="eastAsia"/>
          <w:b w:val="0"/>
          <w:color w:val="auto"/>
          <w:highlight w:val="none"/>
        </w:rPr>
        <w:t>附件2</w:t>
      </w:r>
      <w:r>
        <w:rPr>
          <w:b w:val="0"/>
          <w:color w:val="auto"/>
          <w:highlight w:val="none"/>
        </w:rPr>
        <w:t xml:space="preserve">-14 </w:t>
      </w:r>
      <w:r>
        <w:rPr>
          <w:rFonts w:hint="eastAsia"/>
          <w:b w:val="0"/>
          <w:color w:val="auto"/>
          <w:highlight w:val="none"/>
        </w:rPr>
        <w:t>财务社保数据统计表</w:t>
      </w:r>
      <w:bookmarkEnd w:id="421"/>
      <w:bookmarkEnd w:id="422"/>
      <w:bookmarkEnd w:id="423"/>
      <w:bookmarkEnd w:id="424"/>
      <w:bookmarkEnd w:id="425"/>
    </w:p>
    <w:tbl>
      <w:tblPr>
        <w:tblStyle w:val="42"/>
        <w:tblW w:w="5000" w:type="pct"/>
        <w:tblInd w:w="0" w:type="dxa"/>
        <w:tblLayout w:type="autofit"/>
        <w:tblCellMar>
          <w:top w:w="0" w:type="dxa"/>
          <w:left w:w="0" w:type="dxa"/>
          <w:bottom w:w="0" w:type="dxa"/>
          <w:right w:w="0" w:type="dxa"/>
        </w:tblCellMar>
      </w:tblPr>
      <w:tblGrid>
        <w:gridCol w:w="2571"/>
        <w:gridCol w:w="1279"/>
        <w:gridCol w:w="1277"/>
        <w:gridCol w:w="1279"/>
        <w:gridCol w:w="1279"/>
        <w:gridCol w:w="1703"/>
      </w:tblGrid>
      <w:tr>
        <w:tblPrEx>
          <w:tblCellMar>
            <w:top w:w="0" w:type="dxa"/>
            <w:left w:w="0" w:type="dxa"/>
            <w:bottom w:w="0" w:type="dxa"/>
            <w:right w:w="0" w:type="dxa"/>
          </w:tblCellMar>
        </w:tblPrEx>
        <w:trPr>
          <w:trHeight w:val="687" w:hRule="atLeast"/>
        </w:trPr>
        <w:tc>
          <w:tcPr>
            <w:tcW w:w="5000" w:type="pct"/>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bCs/>
                <w:color w:val="auto"/>
                <w:sz w:val="24"/>
                <w:highlight w:val="none"/>
              </w:rPr>
            </w:pPr>
            <w:r>
              <w:rPr>
                <w:rFonts w:ascii="宋体" w:hAnsi="宋体"/>
                <w:bCs/>
                <w:color w:val="auto"/>
                <w:sz w:val="24"/>
                <w:highlight w:val="none"/>
              </w:rPr>
              <mc:AlternateContent>
                <mc:Choice Requires="wps">
                  <w:drawing>
                    <wp:anchor distT="0" distB="0" distL="114300" distR="114300" simplePos="0" relativeHeight="251651072"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1072;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AklRB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bCs/>
                <w:color w:val="auto"/>
                <w:sz w:val="24"/>
                <w:highlight w:val="none"/>
              </w:rPr>
              <w:t xml:space="preserve">                </w:t>
            </w:r>
            <w:r>
              <w:rPr>
                <w:rFonts w:hint="eastAsia" w:ascii="宋体" w:hAnsi="宋体"/>
                <w:bCs/>
                <w:color w:val="auto"/>
                <w:sz w:val="24"/>
                <w:highlight w:val="none"/>
              </w:rPr>
              <w:t>年</w:t>
            </w:r>
            <w:r>
              <w:rPr>
                <w:rFonts w:ascii="宋体" w:hAnsi="宋体"/>
                <w:bCs/>
                <w:color w:val="auto"/>
                <w:sz w:val="24"/>
                <w:highlight w:val="none"/>
              </w:rPr>
              <w:t xml:space="preserve"> </w:t>
            </w:r>
            <w:r>
              <w:rPr>
                <w:rFonts w:hint="eastAsia" w:ascii="宋体" w:hAnsi="宋体"/>
                <w:bCs/>
                <w:color w:val="auto"/>
                <w:sz w:val="24"/>
                <w:highlight w:val="none"/>
              </w:rPr>
              <w:t>度</w:t>
            </w:r>
            <w:r>
              <w:rPr>
                <w:rFonts w:ascii="宋体" w:hAnsi="宋体"/>
                <w:bCs/>
                <w:color w:val="auto"/>
                <w:sz w:val="24"/>
                <w:highlight w:val="none"/>
              </w:rPr>
              <w:br w:type="textWrapping"/>
            </w:r>
            <w:r>
              <w:rPr>
                <w:rFonts w:hint="eastAsia" w:ascii="宋体" w:hAnsi="宋体"/>
                <w:bCs/>
                <w:color w:val="auto"/>
                <w:sz w:val="24"/>
                <w:highlight w:val="none"/>
              </w:rPr>
              <w:t>数据项目</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0"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3年平均数</w:t>
            </w:r>
          </w:p>
        </w:tc>
        <w:tc>
          <w:tcPr>
            <w:tcW w:w="907"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bCs/>
                <w:color w:val="auto"/>
                <w:sz w:val="24"/>
                <w:highlight w:val="none"/>
              </w:rPr>
            </w:pPr>
            <w:r>
              <w:rPr>
                <w:rFonts w:hint="eastAsia" w:ascii="宋体" w:hAnsi="宋体"/>
                <w:bCs/>
                <w:color w:val="auto"/>
                <w:sz w:val="24"/>
                <w:highlight w:val="none"/>
              </w:rPr>
              <w:t>文件名称</w:t>
            </w:r>
          </w:p>
          <w:p>
            <w:pPr>
              <w:jc w:val="center"/>
              <w:rPr>
                <w:rFonts w:ascii="宋体" w:hAnsi="宋体" w:cs="宋体"/>
                <w:bCs/>
                <w:color w:val="auto"/>
                <w:sz w:val="24"/>
                <w:highlight w:val="none"/>
              </w:rPr>
            </w:pPr>
            <w:r>
              <w:rPr>
                <w:rFonts w:hint="eastAsia" w:ascii="宋体" w:hAnsi="宋体"/>
                <w:bCs/>
                <w:color w:val="auto"/>
                <w:sz w:val="24"/>
                <w:highlight w:val="none"/>
              </w:rPr>
              <w:t>∕页码</w:t>
            </w:r>
          </w:p>
        </w:tc>
      </w:tr>
      <w:tr>
        <w:tblPrEx>
          <w:tblCellMar>
            <w:top w:w="0" w:type="dxa"/>
            <w:left w:w="0" w:type="dxa"/>
            <w:bottom w:w="0" w:type="dxa"/>
            <w:right w:w="0" w:type="dxa"/>
          </w:tblCellMar>
        </w:tblPrEx>
        <w:trPr>
          <w:trHeight w:val="54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ind w:firstLine="240" w:firstLineChars="100"/>
              <w:rPr>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3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年度缴纳社保金额（万元）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6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7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5000" w:type="pct"/>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说明：</w:t>
            </w:r>
          </w:p>
          <w:p>
            <w:pPr>
              <w:spacing w:line="360" w:lineRule="exact"/>
              <w:ind w:firstLine="480" w:firstLineChars="200"/>
              <w:rPr>
                <w:rFonts w:ascii="宋体" w:hAnsi="宋体"/>
                <w:bCs/>
                <w:color w:val="auto"/>
                <w:sz w:val="24"/>
                <w:highlight w:val="none"/>
              </w:rPr>
            </w:pPr>
            <w:r>
              <w:rPr>
                <w:rFonts w:ascii="宋体" w:hAnsi="宋体"/>
                <w:bCs/>
                <w:i/>
                <w:color w:val="auto"/>
                <w:sz w:val="24"/>
                <w:highlight w:val="none"/>
              </w:rPr>
              <w:t>1.</w:t>
            </w:r>
            <w:r>
              <w:rPr>
                <w:rFonts w:hint="eastAsia" w:ascii="宋体" w:hAnsi="宋体"/>
                <w:bCs/>
                <w:i/>
                <w:color w:val="auto"/>
                <w:sz w:val="24"/>
                <w:highlight w:val="none"/>
              </w:rPr>
              <w:t>采购机构根据评审标准具体内容确定本表具体项目。</w:t>
            </w:r>
          </w:p>
          <w:p>
            <w:pPr>
              <w:spacing w:line="360" w:lineRule="exact"/>
              <w:ind w:firstLine="480" w:firstLineChars="200"/>
              <w:rPr>
                <w:rFonts w:ascii="宋体" w:hAnsi="宋体"/>
                <w:bCs/>
                <w:color w:val="auto"/>
                <w:sz w:val="24"/>
                <w:highlight w:val="none"/>
              </w:rPr>
            </w:pPr>
            <w:r>
              <w:rPr>
                <w:rFonts w:ascii="宋体" w:hAnsi="宋体"/>
                <w:bCs/>
                <w:color w:val="auto"/>
                <w:sz w:val="24"/>
                <w:highlight w:val="none"/>
              </w:rPr>
              <w:t>2.</w:t>
            </w:r>
            <w:r>
              <w:rPr>
                <w:rFonts w:hint="eastAsia" w:ascii="宋体" w:hAnsi="宋体"/>
                <w:bCs/>
                <w:color w:val="auto"/>
                <w:sz w:val="24"/>
                <w:highlight w:val="none"/>
              </w:rPr>
              <w:t>纳税和社保情况依据税务（社保）部门或银行出具的相关凭证如实填写，相关凭证复印件附后。其他内容依据会计师事务所出具的《审计报告》中相关数据如实填写。</w:t>
            </w:r>
            <w:r>
              <w:rPr>
                <w:rFonts w:ascii="宋体" w:hAnsi="宋体"/>
                <w:bCs/>
                <w:color w:val="auto"/>
                <w:sz w:val="24"/>
                <w:highlight w:val="none"/>
              </w:rPr>
              <w:br w:type="textWrapping"/>
            </w:r>
            <w:r>
              <w:rPr>
                <w:rFonts w:ascii="宋体" w:hAnsi="宋体"/>
                <w:bCs/>
                <w:color w:val="auto"/>
                <w:sz w:val="24"/>
                <w:highlight w:val="none"/>
              </w:rPr>
              <w:t xml:space="preserve">    3.</w:t>
            </w:r>
            <w:r>
              <w:rPr>
                <w:rFonts w:hint="eastAsia" w:ascii="宋体" w:hAnsi="宋体"/>
                <w:bCs/>
                <w:color w:val="auto"/>
                <w:sz w:val="24"/>
                <w:highlight w:val="none"/>
              </w:rPr>
              <w:t>“页码”栏中填写数据所在《商务技术文件》或《资格证明文件》中的页码位置。</w:t>
            </w:r>
          </w:p>
          <w:p>
            <w:pPr>
              <w:spacing w:line="360" w:lineRule="exact"/>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rPr>
          <w:b w:val="0"/>
          <w:color w:val="auto"/>
          <w:highlight w:val="none"/>
        </w:rPr>
      </w:pPr>
      <w:bookmarkStart w:id="447" w:name="_Toc25966"/>
      <w:bookmarkStart w:id="448" w:name="_Toc19663"/>
      <w:bookmarkStart w:id="449" w:name="_Toc28638"/>
      <w:bookmarkStart w:id="450" w:name="_Toc3524"/>
      <w:bookmarkStart w:id="451" w:name="_Toc2615"/>
      <w:r>
        <w:rPr>
          <w:rFonts w:hint="eastAsia"/>
          <w:b w:val="0"/>
          <w:color w:val="auto"/>
          <w:highlight w:val="none"/>
        </w:rPr>
        <w:t>※附件</w:t>
      </w:r>
      <w:r>
        <w:rPr>
          <w:b w:val="0"/>
          <w:color w:val="auto"/>
          <w:highlight w:val="none"/>
        </w:rPr>
        <w:t>2-15</w:t>
      </w:r>
      <w:r>
        <w:rPr>
          <w:rFonts w:hint="eastAsia"/>
          <w:b w:val="0"/>
          <w:color w:val="auto"/>
          <w:highlight w:val="none"/>
        </w:rPr>
        <w:t>其他</w:t>
      </w:r>
      <w:r>
        <w:rPr>
          <w:rFonts w:hint="eastAsia" w:ascii="宋体" w:hAnsi="宋体"/>
          <w:b w:val="0"/>
          <w:color w:val="auto"/>
          <w:highlight w:val="none"/>
        </w:rPr>
        <w:t>材料</w:t>
      </w:r>
      <w:bookmarkEnd w:id="447"/>
      <w:bookmarkEnd w:id="448"/>
      <w:bookmarkEnd w:id="449"/>
      <w:bookmarkEnd w:id="450"/>
      <w:bookmarkEnd w:id="45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（投标供应商根据评审内容，自行添加其他资料）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spacing w:before="1200" w:beforeLines="500" w:after="960" w:afterLines="400" w:line="600" w:lineRule="auto"/>
        <w:rPr>
          <w:bCs/>
          <w:color w:val="auto"/>
          <w:sz w:val="48"/>
          <w:szCs w:val="48"/>
          <w:highlight w:val="none"/>
        </w:rPr>
      </w:pPr>
    </w:p>
    <w:p>
      <w:pPr>
        <w:widowControl/>
        <w:jc w:val="left"/>
        <w:rPr>
          <w:color w:val="auto"/>
          <w:highlight w:val="none"/>
        </w:rPr>
      </w:pPr>
      <w:r>
        <w:rPr>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452" w:name="_Toc132190145"/>
      <w:r>
        <w:rPr>
          <w:rFonts w:hint="eastAsia" w:ascii="方正小标宋简体" w:eastAsia="方正小标宋简体"/>
          <w:b w:val="0"/>
          <w:color w:val="auto"/>
          <w:sz w:val="52"/>
          <w:szCs w:val="52"/>
          <w:highlight w:val="none"/>
        </w:rPr>
        <w:t>三、资格证明文件</w:t>
      </w:r>
      <w:bookmarkEnd w:id="45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pStyle w:val="6"/>
        <w:spacing w:before="120" w:beforeLines="50" w:after="120" w:afterLines="50" w:line="560" w:lineRule="exact"/>
        <w:rPr>
          <w:b w:val="0"/>
          <w:color w:val="auto"/>
          <w:highlight w:val="none"/>
          <w:lang w:val="zh-CN"/>
        </w:rPr>
      </w:pPr>
      <w:r>
        <w:rPr>
          <w:b w:val="0"/>
          <w:color w:val="auto"/>
          <w:highlight w:val="none"/>
          <w:lang w:val="zh-CN"/>
        </w:rPr>
        <w:br w:type="page"/>
      </w:r>
      <w:bookmarkStart w:id="453" w:name="_Toc5900"/>
      <w:bookmarkStart w:id="454" w:name="_Toc19491"/>
      <w:bookmarkStart w:id="455" w:name="_Toc21914"/>
      <w:bookmarkStart w:id="456" w:name="_Toc6540"/>
      <w:bookmarkStart w:id="457" w:name="_Toc5486"/>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453"/>
      <w:bookmarkEnd w:id="454"/>
      <w:bookmarkEnd w:id="455"/>
      <w:bookmarkEnd w:id="456"/>
      <w:bookmarkEnd w:id="45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highlight w:val="none"/>
        </w:rPr>
      </w:pPr>
      <w:r>
        <w:rPr>
          <w:rFonts w:hint="eastAsia" w:ascii="黑体" w:hAnsi="黑体" w:eastAsia="黑体"/>
          <w:bCs/>
          <w:color w:val="auto"/>
          <w:sz w:val="28"/>
          <w:szCs w:val="28"/>
          <w:highlight w:val="none"/>
        </w:rPr>
        <w:t>投标供应商务必在资格证明文件正文前制作本索引表</w:t>
      </w:r>
      <w:r>
        <w:rPr>
          <w:rFonts w:hint="eastAsia" w:ascii="黑体" w:hAnsi="黑体" w:eastAsia="黑体"/>
          <w:bCs/>
          <w:color w:val="auto"/>
          <w:highlight w:val="none"/>
        </w:rPr>
        <w:t>。</w:t>
      </w:r>
    </w:p>
    <w:tbl>
      <w:tblPr>
        <w:tblStyle w:val="42"/>
        <w:tblW w:w="4821" w:type="pct"/>
        <w:jc w:val="center"/>
        <w:tblLayout w:type="fixed"/>
        <w:tblCellMar>
          <w:top w:w="0" w:type="dxa"/>
          <w:left w:w="108" w:type="dxa"/>
          <w:bottom w:w="0" w:type="dxa"/>
          <w:right w:w="108" w:type="dxa"/>
        </w:tblCellMar>
      </w:tblPr>
      <w:tblGrid>
        <w:gridCol w:w="930"/>
        <w:gridCol w:w="6520"/>
        <w:gridCol w:w="1777"/>
      </w:tblGrid>
      <w:tr>
        <w:tblPrEx>
          <w:tblCellMar>
            <w:top w:w="0" w:type="dxa"/>
            <w:left w:w="108" w:type="dxa"/>
            <w:bottom w:w="0" w:type="dxa"/>
            <w:right w:w="108" w:type="dxa"/>
          </w:tblCellMar>
        </w:tblPrEx>
        <w:trPr>
          <w:trHeight w:val="549" w:hRule="atLeast"/>
          <w:jc w:val="center"/>
        </w:trPr>
        <w:tc>
          <w:tcPr>
            <w:tcW w:w="504"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353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资格性审查项目</w:t>
            </w:r>
          </w:p>
        </w:tc>
        <w:tc>
          <w:tcPr>
            <w:tcW w:w="96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资格证明文件位置页码</w:t>
            </w:r>
          </w:p>
        </w:tc>
      </w:tr>
      <w:tr>
        <w:tblPrEx>
          <w:tblCellMar>
            <w:top w:w="0" w:type="dxa"/>
            <w:left w:w="108" w:type="dxa"/>
            <w:bottom w:w="0" w:type="dxa"/>
            <w:right w:w="108" w:type="dxa"/>
          </w:tblCellMar>
        </w:tblPrEx>
        <w:trPr>
          <w:trHeight w:val="276" w:hRule="atLeast"/>
          <w:jc w:val="center"/>
        </w:trPr>
        <w:tc>
          <w:tcPr>
            <w:tcW w:w="504"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3533"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963"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53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6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3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26"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58" w:name="_Toc28964"/>
      <w:bookmarkStart w:id="459" w:name="_Toc24236"/>
      <w:bookmarkStart w:id="460" w:name="_Toc12871"/>
      <w:bookmarkStart w:id="461" w:name="_Toc28654"/>
      <w:bookmarkStart w:id="462" w:name="_Toc25235"/>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458"/>
      <w:bookmarkEnd w:id="459"/>
      <w:bookmarkEnd w:id="460"/>
      <w:bookmarkEnd w:id="461"/>
      <w:bookmarkEnd w:id="46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rPr>
      </w:pPr>
      <w:bookmarkStart w:id="463" w:name="_Toc15253"/>
      <w:bookmarkStart w:id="464" w:name="_Toc9673"/>
      <w:bookmarkStart w:id="465" w:name="_Toc4671"/>
      <w:bookmarkStart w:id="466" w:name="_Toc5454"/>
      <w:bookmarkStart w:id="467" w:name="_Toc26386"/>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463"/>
      <w:bookmarkEnd w:id="464"/>
      <w:bookmarkEnd w:id="465"/>
      <w:bookmarkEnd w:id="466"/>
      <w:bookmarkEnd w:id="467"/>
    </w:p>
    <w:p>
      <w:pPr>
        <w:spacing w:before="120" w:beforeLines="50" w:after="120" w:afterLines="50" w:line="560" w:lineRule="exact"/>
        <w:jc w:val="center"/>
        <w:rPr>
          <w:rFonts w:eastAsia="楷体_GB2312"/>
          <w:bCs/>
          <w:color w:val="auto"/>
          <w:sz w:val="28"/>
          <w:szCs w:val="28"/>
          <w:highlight w:val="none"/>
        </w:rPr>
      </w:pPr>
      <w:r>
        <w:rPr>
          <w:rFonts w:hint="eastAsia" w:ascii="黑体" w:hAnsi="黑体" w:eastAsia="黑体" w:cs="黑体"/>
          <w:bCs/>
          <w:color w:val="auto"/>
          <w:sz w:val="36"/>
          <w:szCs w:val="21"/>
          <w:highlight w:val="none"/>
        </w:rPr>
        <w:t>法定代表人资格证明书</w:t>
      </w:r>
    </w:p>
    <w:p>
      <w:pPr>
        <w:spacing w:before="480" w:beforeLines="200"/>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（投标供应商全称）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2899410</wp:posOffset>
                </wp:positionH>
                <wp:positionV relativeFrom="paragraph">
                  <wp:posOffset>60325</wp:posOffset>
                </wp:positionV>
                <wp:extent cx="2197100" cy="1125855"/>
                <wp:effectExtent l="0" t="0" r="1270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9710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75pt;height:88.65pt;width:173pt;z-index:251657216;v-text-anchor:middle;mso-width-relative:page;mso-height-relative:page;" fillcolor="#FFFFFF" filled="t" stroked="t" coordsize="21600,21600" o:gfxdata="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9E+jl1AAAAAkBAAAPAAAAAAAA&#10;AAEAIAAAACIAAABkcnMvZG93bnJldi54bWxQSwECFAAUAAAACACHTuJAEHqzR0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45952"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45952;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身份证关键信息应当清晰可辨，否则视为无效投标。</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rFonts w:hint="eastAsia"/>
          <w:bCs/>
          <w:color w:val="auto"/>
          <w:sz w:val="28"/>
          <w:szCs w:val="28"/>
          <w:highlight w:val="none"/>
        </w:rPr>
        <w:t>投标供应商全称：（盖章）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rPr>
      </w:pPr>
      <w:bookmarkStart w:id="468" w:name="_Toc10179"/>
      <w:bookmarkStart w:id="469" w:name="_Toc7228"/>
      <w:bookmarkStart w:id="470" w:name="_Toc12673"/>
      <w:bookmarkStart w:id="471" w:name="_Toc27366"/>
      <w:bookmarkStart w:id="472" w:name="_Toc2090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468"/>
      <w:bookmarkEnd w:id="469"/>
      <w:bookmarkEnd w:id="470"/>
      <w:bookmarkEnd w:id="471"/>
      <w:bookmarkEnd w:id="472"/>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6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（投标供应商全称）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360" w:lineRule="auto"/>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投标供应商全称：（盖章）                            </w:t>
      </w:r>
    </w:p>
    <w:p>
      <w:pPr>
        <w:spacing w:line="360" w:lineRule="auto"/>
        <w:ind w:left="3664" w:leftChars="1745"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pStyle w:val="17"/>
        <w:spacing w:line="360" w:lineRule="auto"/>
        <w:ind w:firstLine="4200" w:firstLineChars="1500"/>
        <w:rPr>
          <w:color w:val="auto"/>
          <w:highlight w:val="none"/>
        </w:rPr>
      </w:pP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6432" behindDoc="0" locked="0" layoutInCell="1" allowOverlap="1">
                <wp:simplePos x="0" y="0"/>
                <wp:positionH relativeFrom="column">
                  <wp:posOffset>394970</wp:posOffset>
                </wp:positionH>
                <wp:positionV relativeFrom="paragraph">
                  <wp:posOffset>119380</wp:posOffset>
                </wp:positionV>
                <wp:extent cx="2240915" cy="1087120"/>
                <wp:effectExtent l="0" t="0" r="26035" b="177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1.1pt;margin-top:9.4pt;height:85.6pt;width:176.45pt;z-index:251666432;v-text-anchor:middle;mso-width-relative:page;mso-height-relative:page;" fillcolor="#FFFFFF" filled="t" stroked="t" coordsize="21600,21600" o:gfxdata="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P59eXUAAAACQEAAA8AAAAA&#10;AAAAAQAgAAAAIgAAAGRycy9kb3ducmV2LnhtbFBLAQIUABQAAAAIAIdO4kDVYWvoUQIAAKIEAAAO&#10;AAAAAAAAAAEAIAAAACM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71552" behindDoc="0" locked="0" layoutInCell="1" allowOverlap="1">
                <wp:simplePos x="0" y="0"/>
                <wp:positionH relativeFrom="column">
                  <wp:posOffset>2877820</wp:posOffset>
                </wp:positionH>
                <wp:positionV relativeFrom="paragraph">
                  <wp:posOffset>121920</wp:posOffset>
                </wp:positionV>
                <wp:extent cx="2240915" cy="1087120"/>
                <wp:effectExtent l="0" t="0" r="26035"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6pt;height:85.6pt;width:176.45pt;z-index:251671552;v-text-anchor:middle;mso-width-relative:page;mso-height-relative:page;" fillcolor="#FFFFFF" filled="t" stroked="t" coordsize="21600,21600" o:gfxdata="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0ul+nWAAAACgEAAA8AAAAA&#10;AAAAAQAgAAAAIgAAAGRycy9kb3ducmV2LnhtbFBLAQIUABQAAAAIAIdO4kDixeII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身份证关键信息应当清晰可辨，否则视为无效投标。</w:t>
      </w:r>
    </w:p>
    <w:p>
      <w:pPr>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注：授权书后应当附授权代表在投标前</w:t>
      </w:r>
      <w:r>
        <w:rPr>
          <w:rFonts w:hint="eastAsia" w:ascii="黑体" w:hAnsi="黑体" w:eastAsia="黑体" w:cs="宋体"/>
          <w:bCs/>
          <w:color w:val="auto"/>
          <w:sz w:val="28"/>
          <w:szCs w:val="28"/>
          <w:highlight w:val="none"/>
          <w:lang w:eastAsia="zh-CN"/>
        </w:rPr>
        <w:t>近1年内任意1个月</w:t>
      </w:r>
      <w:r>
        <w:rPr>
          <w:rFonts w:ascii="黑体" w:hAnsi="黑体" w:eastAsia="黑体" w:cs="宋体"/>
          <w:bCs/>
          <w:color w:val="auto"/>
          <w:sz w:val="28"/>
          <w:szCs w:val="28"/>
          <w:highlight w:val="none"/>
        </w:rPr>
        <w:t>由</w:t>
      </w:r>
      <w:r>
        <w:rPr>
          <w:rFonts w:hint="eastAsia" w:ascii="黑体" w:hAnsi="黑体" w:eastAsia="黑体" w:cs="宋体"/>
          <w:bCs/>
          <w:color w:val="auto"/>
          <w:sz w:val="28"/>
          <w:szCs w:val="28"/>
          <w:highlight w:val="none"/>
        </w:rPr>
        <w:t>投标供应商缴纳社保证明材料。</w:t>
      </w:r>
    </w:p>
    <w:p>
      <w:pPr>
        <w:jc w:val="center"/>
        <w:rPr>
          <w:bCs/>
          <w:color w:val="auto"/>
          <w:highlight w:val="none"/>
          <w:lang w:val="zh-CN"/>
        </w:rPr>
      </w:pPr>
    </w:p>
    <w:p>
      <w:pPr>
        <w:pStyle w:val="6"/>
        <w:spacing w:before="120" w:beforeLines="50" w:after="120" w:afterLines="50" w:line="560" w:lineRule="exact"/>
        <w:rPr>
          <w:b w:val="0"/>
          <w:color w:val="auto"/>
          <w:highlight w:val="none"/>
        </w:rPr>
      </w:pPr>
      <w:bookmarkStart w:id="473" w:name="_Toc21021"/>
      <w:bookmarkStart w:id="474" w:name="_Toc28821"/>
      <w:bookmarkStart w:id="475" w:name="_Toc17669"/>
      <w:bookmarkStart w:id="476" w:name="_Toc15664"/>
      <w:bookmarkStart w:id="477" w:name="_Toc31855"/>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473"/>
      <w:bookmarkEnd w:id="474"/>
      <w:bookmarkEnd w:id="475"/>
      <w:bookmarkEnd w:id="476"/>
      <w:bookmarkEnd w:id="477"/>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cs="宋体"/>
          <w:bCs/>
          <w:color w:val="auto"/>
          <w:sz w:val="28"/>
          <w:szCs w:val="28"/>
          <w:highlight w:val="none"/>
        </w:rPr>
      </w:pPr>
      <w:r>
        <w:rPr>
          <w:rFonts w:ascii="宋体" w:hAnsi="宋体"/>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我单位自愿参加贵部组织的（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）采购活动，承诺声明如下：</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一、供应商诚信承诺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rPr>
        <w:t>2.因单位转制、兼并、股改等特殊情况，无法提供原始</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二、保密承诺</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5.未经采购机构审查批准，不得擅自在互联网、通讯媒体等发表涉及此次采购项目相关信息。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三、诚信责任保证金承诺</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四、未被列入违法失信名单承诺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五、关联关系企业不参与采购活动承诺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六、前3年没有重大违法记录的书面声明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我单位在参加本次采购活动前3年内在经营活动中没有重大违法记录。</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我单位近3年没有发生过重大质量安全事故。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如果我方违反上述承诺声明内容，愿意承担由此导致的一切不利后果和法律责任，</w:t>
      </w:r>
      <w:r>
        <w:rPr>
          <w:rFonts w:hint="eastAsia" w:ascii="宋体" w:hAnsi="宋体" w:cs="宋体"/>
          <w:bCs/>
          <w:color w:val="auto"/>
          <w:sz w:val="28"/>
          <w:szCs w:val="28"/>
          <w:highlight w:val="none"/>
          <w:lang w:val="zh-CN"/>
        </w:rPr>
        <w:t>接受军队采购管理部门和采购机构按国家和军队有关法规作出的相关处罚</w:t>
      </w:r>
      <w:r>
        <w:rPr>
          <w:rFonts w:hint="eastAsia" w:ascii="宋体" w:hAnsi="宋体" w:cs="宋体"/>
          <w:bCs/>
          <w:color w:val="auto"/>
          <w:sz w:val="28"/>
          <w:szCs w:val="28"/>
          <w:highlight w:val="none"/>
        </w:rPr>
        <w:t>。</w:t>
      </w:r>
    </w:p>
    <w:p>
      <w:pPr>
        <w:pStyle w:val="17"/>
        <w:rPr>
          <w:color w:val="auto"/>
          <w:highlight w:val="none"/>
        </w:rPr>
      </w:pPr>
    </w:p>
    <w:p>
      <w:pPr>
        <w:widowControl/>
        <w:spacing w:line="560" w:lineRule="exact"/>
        <w:rPr>
          <w:rFonts w:ascii="宋体" w:hAnsi="宋体" w:cs="宋体"/>
          <w:bCs/>
          <w:color w:val="auto"/>
          <w:sz w:val="28"/>
          <w:szCs w:val="28"/>
          <w:highlight w:val="none"/>
          <w:lang w:val="zh-CN"/>
        </w:rPr>
      </w:pP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ind w:firstLine="420" w:firstLineChars="200"/>
        <w:jc w:val="left"/>
        <w:rPr>
          <w:bCs/>
          <w:color w:val="auto"/>
          <w:sz w:val="44"/>
          <w:szCs w:val="44"/>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78" w:name="_Toc26622"/>
      <w:bookmarkStart w:id="479" w:name="_Toc16276"/>
      <w:bookmarkStart w:id="480" w:name="_Toc9679"/>
      <w:bookmarkStart w:id="481" w:name="_Toc25453"/>
      <w:bookmarkStart w:id="482" w:name="_Toc25219"/>
      <w:r>
        <w:rPr>
          <w:rFonts w:hint="eastAsia"/>
          <w:b w:val="0"/>
          <w:color w:val="auto"/>
          <w:highlight w:val="none"/>
          <w:lang w:val="zh-CN"/>
        </w:rPr>
        <w:t>附件</w:t>
      </w:r>
      <w:r>
        <w:rPr>
          <w:b w:val="0"/>
          <w:color w:val="auto"/>
          <w:highlight w:val="none"/>
          <w:lang w:val="zh-CN"/>
        </w:rPr>
        <w:t>3-</w:t>
      </w:r>
      <w:r>
        <w:rPr>
          <w:b w:val="0"/>
          <w:color w:val="auto"/>
          <w:highlight w:val="none"/>
        </w:rPr>
        <w:t>6</w:t>
      </w:r>
      <w:r>
        <w:rPr>
          <w:b w:val="0"/>
          <w:color w:val="auto"/>
          <w:highlight w:val="none"/>
          <w:lang w:val="zh-CN"/>
        </w:rPr>
        <w:t xml:space="preserve"> </w:t>
      </w:r>
      <w:r>
        <w:rPr>
          <w:rFonts w:hint="eastAsia"/>
          <w:b w:val="0"/>
          <w:color w:val="auto"/>
          <w:highlight w:val="none"/>
          <w:lang w:val="zh-CN"/>
        </w:rPr>
        <w:t>纳税证明材料</w:t>
      </w:r>
      <w:bookmarkEnd w:id="478"/>
      <w:bookmarkEnd w:id="479"/>
      <w:bookmarkEnd w:id="480"/>
      <w:bookmarkEnd w:id="481"/>
      <w:bookmarkEnd w:id="48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83" w:name="_Toc26473"/>
      <w:bookmarkStart w:id="484" w:name="_Toc17310"/>
      <w:bookmarkStart w:id="485" w:name="_Toc2760"/>
      <w:bookmarkStart w:id="486" w:name="_Toc18471"/>
      <w:bookmarkStart w:id="487" w:name="_Toc27827"/>
      <w:r>
        <w:rPr>
          <w:rFonts w:hint="eastAsia"/>
          <w:b w:val="0"/>
          <w:color w:val="auto"/>
          <w:highlight w:val="none"/>
          <w:lang w:val="zh-CN"/>
        </w:rPr>
        <w:t>附件</w:t>
      </w:r>
      <w:r>
        <w:rPr>
          <w:b w:val="0"/>
          <w:color w:val="auto"/>
          <w:highlight w:val="none"/>
          <w:lang w:val="zh-CN"/>
        </w:rPr>
        <w:t>3-</w:t>
      </w:r>
      <w:r>
        <w:rPr>
          <w:b w:val="0"/>
          <w:color w:val="auto"/>
          <w:highlight w:val="none"/>
        </w:rPr>
        <w:t>7</w:t>
      </w:r>
      <w:r>
        <w:rPr>
          <w:b w:val="0"/>
          <w:color w:val="auto"/>
          <w:highlight w:val="none"/>
          <w:lang w:val="zh-CN"/>
        </w:rPr>
        <w:t xml:space="preserve"> </w:t>
      </w:r>
      <w:r>
        <w:rPr>
          <w:rFonts w:hint="eastAsia"/>
          <w:b w:val="0"/>
          <w:color w:val="auto"/>
          <w:highlight w:val="none"/>
          <w:lang w:val="zh-CN"/>
        </w:rPr>
        <w:t>缴纳社会保障金证明材料</w:t>
      </w:r>
      <w:bookmarkEnd w:id="483"/>
      <w:bookmarkEnd w:id="484"/>
      <w:bookmarkEnd w:id="485"/>
      <w:bookmarkEnd w:id="486"/>
      <w:bookmarkEnd w:id="487"/>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488" w:name="_Toc4199"/>
      <w:bookmarkStart w:id="489" w:name="_Toc18508"/>
      <w:bookmarkStart w:id="490" w:name="_Toc19414"/>
      <w:bookmarkStart w:id="491" w:name="_Toc18722"/>
      <w:bookmarkStart w:id="492" w:name="_Toc12004"/>
      <w:bookmarkStart w:id="493" w:name="_Toc10809"/>
      <w:bookmarkStart w:id="494" w:name="_Toc20516"/>
      <w:bookmarkStart w:id="495" w:name="_Toc22804"/>
      <w:bookmarkStart w:id="496" w:name="_Toc20080"/>
      <w:bookmarkStart w:id="497" w:name="_Toc20757"/>
      <w:r>
        <w:rPr>
          <w:rFonts w:hint="eastAsia"/>
          <w:b w:val="0"/>
          <w:color w:val="auto"/>
          <w:highlight w:val="none"/>
          <w:lang w:val="zh-CN"/>
        </w:rPr>
        <w:t>附件</w:t>
      </w:r>
      <w:r>
        <w:rPr>
          <w:b w:val="0"/>
          <w:color w:val="auto"/>
          <w:highlight w:val="none"/>
          <w:lang w:val="zh-CN"/>
        </w:rPr>
        <w:t>3-</w:t>
      </w:r>
      <w:r>
        <w:rPr>
          <w:b w:val="0"/>
          <w:color w:val="auto"/>
          <w:highlight w:val="none"/>
        </w:rPr>
        <w:t>8</w:t>
      </w:r>
      <w:r>
        <w:rPr>
          <w:b w:val="0"/>
          <w:color w:val="auto"/>
          <w:highlight w:val="none"/>
          <w:lang w:val="zh-CN"/>
        </w:rPr>
        <w:t xml:space="preserve"> </w:t>
      </w:r>
      <w:r>
        <w:rPr>
          <w:rFonts w:hint="eastAsia"/>
          <w:b w:val="0"/>
          <w:color w:val="auto"/>
          <w:highlight w:val="none"/>
          <w:lang w:val="zh-CN"/>
        </w:rPr>
        <w:t>近</w:t>
      </w:r>
      <w:r>
        <w:rPr>
          <w:rFonts w:hint="eastAsia"/>
          <w:b w:val="0"/>
          <w:color w:val="auto"/>
          <w:highlight w:val="none"/>
          <w:lang w:val="en-US" w:eastAsia="zh-CN"/>
        </w:rPr>
        <w:t>1</w:t>
      </w:r>
      <w:r>
        <w:rPr>
          <w:rFonts w:hint="eastAsia"/>
          <w:b w:val="0"/>
          <w:color w:val="auto"/>
          <w:highlight w:val="none"/>
          <w:lang w:val="zh-CN"/>
        </w:rPr>
        <w:t>年会计师事务所出具的审计报告</w:t>
      </w:r>
      <w:bookmarkEnd w:id="488"/>
      <w:bookmarkEnd w:id="489"/>
      <w:bookmarkEnd w:id="490"/>
      <w:bookmarkEnd w:id="491"/>
      <w:bookmarkEnd w:id="49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lang w:val="zh-CN"/>
        </w:rPr>
        <w:t>年会计师事务所出具的审计报告</w:t>
      </w:r>
    </w:p>
    <w:p>
      <w:pPr>
        <w:pStyle w:val="17"/>
        <w:spacing w:after="0" w:line="560" w:lineRule="exact"/>
        <w:ind w:firstLine="560" w:firstLineChars="200"/>
        <w:rPr>
          <w:color w:val="auto"/>
          <w:sz w:val="28"/>
          <w:szCs w:val="28"/>
          <w:highlight w:val="none"/>
          <w:lang w:val="zh-CN"/>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93"/>
      <w:bookmarkEnd w:id="494"/>
      <w:bookmarkEnd w:id="495"/>
      <w:bookmarkEnd w:id="496"/>
      <w:bookmarkEnd w:id="497"/>
    </w:p>
    <w:p>
      <w:pPr>
        <w:spacing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spacing w:line="560" w:lineRule="exact"/>
        <w:jc w:val="center"/>
        <w:rPr>
          <w:rFonts w:ascii="宋体" w:hAnsi="宋体" w:cs="宋体"/>
          <w:bCs/>
          <w:color w:val="auto"/>
          <w:sz w:val="28"/>
          <w:szCs w:val="28"/>
          <w:highlight w:val="none"/>
          <w:u w:val="single"/>
        </w:rPr>
      </w:pPr>
    </w:p>
    <w:p>
      <w:pPr>
        <w:spacing w:line="560" w:lineRule="exact"/>
        <w:jc w:val="center"/>
        <w:rPr>
          <w:rFonts w:ascii="宋体" w:hAnsi="宋体" w:cs="宋体"/>
          <w:bCs/>
          <w:color w:val="auto"/>
          <w:sz w:val="28"/>
          <w:szCs w:val="28"/>
          <w:highlight w:val="none"/>
          <w:u w:val="single"/>
        </w:rPr>
      </w:pPr>
    </w:p>
    <w:p>
      <w:pPr>
        <w:spacing w:line="360" w:lineRule="auto"/>
        <w:jc w:val="center"/>
        <w:rPr>
          <w:bCs/>
          <w:color w:val="auto"/>
          <w:sz w:val="28"/>
          <w:szCs w:val="28"/>
          <w:highlight w:val="none"/>
          <w:lang w:val="zh-CN"/>
        </w:rPr>
      </w:pPr>
    </w:p>
    <w:p>
      <w:pPr>
        <w:autoSpaceDE w:val="0"/>
        <w:autoSpaceDN w:val="0"/>
        <w:adjustRightInd w:val="0"/>
        <w:ind w:firstLine="420" w:firstLineChars="200"/>
        <w:rPr>
          <w:bCs/>
          <w:color w:val="auto"/>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498" w:name="_Toc25249"/>
      <w:bookmarkStart w:id="499" w:name="_Toc15053"/>
      <w:bookmarkStart w:id="500" w:name="_Toc6666"/>
      <w:bookmarkStart w:id="501" w:name="_Toc6667"/>
      <w:bookmarkStart w:id="502" w:name="_Toc1721"/>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498"/>
      <w:bookmarkEnd w:id="499"/>
      <w:bookmarkEnd w:id="500"/>
      <w:bookmarkEnd w:id="501"/>
      <w:bookmarkEnd w:id="50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由投标供应商</w:t>
      </w:r>
      <w:r>
        <w:rPr>
          <w:rFonts w:hint="eastAsia"/>
          <w:bCs/>
          <w:color w:val="auto"/>
          <w:sz w:val="28"/>
          <w:szCs w:val="28"/>
          <w:highlight w:val="none"/>
        </w:rPr>
        <w:t>按招标文件要求提供。</w:t>
      </w:r>
      <w:r>
        <w:rPr>
          <w:rFonts w:hint="eastAsia"/>
          <w:bCs/>
          <w:color w:val="auto"/>
          <w:sz w:val="28"/>
          <w:szCs w:val="28"/>
          <w:highlight w:val="none"/>
          <w:lang w:val="zh-CN"/>
        </w:rPr>
        <w:t>）</w:t>
      </w:r>
    </w:p>
    <w:p>
      <w:pPr>
        <w:pStyle w:val="17"/>
        <w:rPr>
          <w:bCs/>
          <w:color w:val="auto"/>
          <w:highlight w:val="none"/>
          <w:lang w:val="zh-CN"/>
        </w:rPr>
      </w:pPr>
    </w:p>
    <w:p>
      <w:pPr>
        <w:widowControl/>
        <w:ind w:firstLine="420" w:firstLineChars="200"/>
        <w:jc w:val="left"/>
        <w:rPr>
          <w:bCs/>
          <w:color w:val="auto"/>
          <w:highlight w:val="none"/>
          <w:lang w:val="zh-CN"/>
        </w:rPr>
      </w:pPr>
      <w:r>
        <w:rPr>
          <w:bCs/>
          <w:color w:val="auto"/>
          <w:highlight w:val="none"/>
          <w:lang w:val="zh-CN"/>
        </w:rPr>
        <w:br w:type="page"/>
      </w:r>
    </w:p>
    <w:p>
      <w:pPr>
        <w:pStyle w:val="6"/>
        <w:spacing w:before="120" w:beforeLines="50" w:after="120" w:afterLines="50" w:line="560" w:lineRule="exact"/>
        <w:rPr>
          <w:rFonts w:ascii="黑体" w:hAnsi="黑体" w:cs="黑体"/>
          <w:b w:val="0"/>
          <w:color w:val="auto"/>
          <w:highlight w:val="none"/>
          <w:lang w:val="zh-CN"/>
        </w:rPr>
      </w:pPr>
      <w:bookmarkStart w:id="503" w:name="_Toc30503"/>
      <w:bookmarkStart w:id="504" w:name="_Toc12548"/>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rPr>
        <w:t>1</w:t>
      </w:r>
      <w:r>
        <w:rPr>
          <w:rFonts w:ascii="黑体" w:hAnsi="黑体" w:cs="黑体"/>
          <w:b w:val="0"/>
          <w:color w:val="auto"/>
          <w:highlight w:val="none"/>
        </w:rPr>
        <w:t>1</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503"/>
      <w:bookmarkEnd w:id="504"/>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pStyle w:val="17"/>
        <w:spacing w:before="120" w:beforeLines="50"/>
        <w:jc w:val="center"/>
        <w:rPr>
          <w:rFonts w:ascii="宋体" w:hAnsi="宋体"/>
          <w:bCs/>
          <w:color w:val="auto"/>
          <w:szCs w:val="21"/>
          <w:highlight w:val="none"/>
        </w:rPr>
      </w:pPr>
      <w:r>
        <w:rPr>
          <w:rFonts w:hint="eastAsia"/>
          <w:color w:val="auto"/>
          <w:sz w:val="28"/>
          <w:szCs w:val="28"/>
          <w:highlight w:val="none"/>
        </w:rPr>
        <w:t>（投标供应商根据招标文件规定的资格要求，自行添加其他资料）</w:t>
      </w:r>
      <w:bookmarkEnd w:id="15"/>
    </w:p>
    <w:sectPr>
      <w:headerReference r:id="rId8" w:type="default"/>
      <w:footerReference r:id="rId9"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4716817"/>
      <w:docPartObj>
        <w:docPartGallery w:val="autotext"/>
      </w:docPartObj>
    </w:sdtPr>
    <w:sdtEndPr>
      <w:rPr>
        <w:sz w:val="21"/>
        <w:szCs w:val="21"/>
      </w:rPr>
    </w:sdtEndPr>
    <w:sdtContent>
      <w:p>
        <w:pPr>
          <w:pStyle w:val="27"/>
        </w:pPr>
      </w:p>
      <w:p>
        <w:pPr>
          <w:pStyle w:val="27"/>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74</w:t>
        </w:r>
        <w:r>
          <w:rPr>
            <w:sz w:val="21"/>
            <w:szCs w:val="21"/>
          </w:rPr>
          <w:fldChar w:fldCharType="end"/>
        </w:r>
      </w:p>
    </w:sdtContent>
  </w:sdt>
  <w:p>
    <w:pPr>
      <w:pStyle w:val="27"/>
      <w:tabs>
        <w:tab w:val="right" w:pos="935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845512"/>
      <w:docPartObj>
        <w:docPartGallery w:val="autotext"/>
      </w:docPartObj>
    </w:sdtPr>
    <w:sdtContent>
      <w:p>
        <w:pPr>
          <w:pStyle w:val="27"/>
          <w:jc w:val="center"/>
        </w:pPr>
        <w:r>
          <w:fldChar w:fldCharType="begin"/>
        </w:r>
        <w:r>
          <w:instrText xml:space="preserve">PAGE   \* MERGEFORMAT</w:instrText>
        </w:r>
        <w:r>
          <w:fldChar w:fldCharType="separate"/>
        </w:r>
        <w:r>
          <w:rPr>
            <w:lang w:val="zh-CN"/>
          </w:rPr>
          <w:t>97</w:t>
        </w:r>
        <w:r>
          <w:fldChar w:fldCharType="end"/>
        </w:r>
      </w:p>
    </w:sdtContent>
  </w:sdt>
  <w:p>
    <w:pPr>
      <w:pStyle w:val="27"/>
      <w:tabs>
        <w:tab w:val="right" w:pos="9354"/>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172A27"/>
    <w:rsid w:val="00000413"/>
    <w:rsid w:val="00000A61"/>
    <w:rsid w:val="00000A83"/>
    <w:rsid w:val="000013FE"/>
    <w:rsid w:val="0000186F"/>
    <w:rsid w:val="00001A03"/>
    <w:rsid w:val="00002568"/>
    <w:rsid w:val="00002840"/>
    <w:rsid w:val="000037DE"/>
    <w:rsid w:val="00003D23"/>
    <w:rsid w:val="0000430D"/>
    <w:rsid w:val="00004EAF"/>
    <w:rsid w:val="000051B5"/>
    <w:rsid w:val="00005D86"/>
    <w:rsid w:val="00006552"/>
    <w:rsid w:val="0001024D"/>
    <w:rsid w:val="00010382"/>
    <w:rsid w:val="00011844"/>
    <w:rsid w:val="00013365"/>
    <w:rsid w:val="00013466"/>
    <w:rsid w:val="00013574"/>
    <w:rsid w:val="00013923"/>
    <w:rsid w:val="000149CE"/>
    <w:rsid w:val="00014A82"/>
    <w:rsid w:val="00015858"/>
    <w:rsid w:val="00015A29"/>
    <w:rsid w:val="0001617A"/>
    <w:rsid w:val="00017581"/>
    <w:rsid w:val="000175E8"/>
    <w:rsid w:val="00017CF0"/>
    <w:rsid w:val="00017F9C"/>
    <w:rsid w:val="00023183"/>
    <w:rsid w:val="000231AC"/>
    <w:rsid w:val="00024272"/>
    <w:rsid w:val="000245BF"/>
    <w:rsid w:val="00024C6B"/>
    <w:rsid w:val="000252F0"/>
    <w:rsid w:val="00025851"/>
    <w:rsid w:val="00025EED"/>
    <w:rsid w:val="00027B71"/>
    <w:rsid w:val="00027D0F"/>
    <w:rsid w:val="00030A53"/>
    <w:rsid w:val="00030F8C"/>
    <w:rsid w:val="00031705"/>
    <w:rsid w:val="00031BBE"/>
    <w:rsid w:val="00031C52"/>
    <w:rsid w:val="00032D53"/>
    <w:rsid w:val="000333AE"/>
    <w:rsid w:val="00033EFF"/>
    <w:rsid w:val="00034CC0"/>
    <w:rsid w:val="00035663"/>
    <w:rsid w:val="000358FA"/>
    <w:rsid w:val="00035B2B"/>
    <w:rsid w:val="00036447"/>
    <w:rsid w:val="00036867"/>
    <w:rsid w:val="00037723"/>
    <w:rsid w:val="00040247"/>
    <w:rsid w:val="00040313"/>
    <w:rsid w:val="00040E14"/>
    <w:rsid w:val="00041881"/>
    <w:rsid w:val="00041B34"/>
    <w:rsid w:val="00041BB8"/>
    <w:rsid w:val="0004234C"/>
    <w:rsid w:val="0004444E"/>
    <w:rsid w:val="000456CB"/>
    <w:rsid w:val="00045855"/>
    <w:rsid w:val="00045B4B"/>
    <w:rsid w:val="000460A8"/>
    <w:rsid w:val="00046881"/>
    <w:rsid w:val="00047440"/>
    <w:rsid w:val="000474B5"/>
    <w:rsid w:val="0004759C"/>
    <w:rsid w:val="00047F88"/>
    <w:rsid w:val="0005019F"/>
    <w:rsid w:val="00050659"/>
    <w:rsid w:val="000508AD"/>
    <w:rsid w:val="0005168D"/>
    <w:rsid w:val="00051913"/>
    <w:rsid w:val="0005208E"/>
    <w:rsid w:val="000526FB"/>
    <w:rsid w:val="00052DBD"/>
    <w:rsid w:val="000534E6"/>
    <w:rsid w:val="00053BE1"/>
    <w:rsid w:val="00053C94"/>
    <w:rsid w:val="00054E1C"/>
    <w:rsid w:val="000566BD"/>
    <w:rsid w:val="0005701C"/>
    <w:rsid w:val="0006034B"/>
    <w:rsid w:val="000606A2"/>
    <w:rsid w:val="00060C04"/>
    <w:rsid w:val="0006124F"/>
    <w:rsid w:val="00061310"/>
    <w:rsid w:val="00061914"/>
    <w:rsid w:val="000620A1"/>
    <w:rsid w:val="0006250B"/>
    <w:rsid w:val="000638C9"/>
    <w:rsid w:val="00065B10"/>
    <w:rsid w:val="000662FC"/>
    <w:rsid w:val="000666F2"/>
    <w:rsid w:val="000675E6"/>
    <w:rsid w:val="00067693"/>
    <w:rsid w:val="000677C7"/>
    <w:rsid w:val="00067D0B"/>
    <w:rsid w:val="000709FB"/>
    <w:rsid w:val="00070B21"/>
    <w:rsid w:val="00070F95"/>
    <w:rsid w:val="0007140C"/>
    <w:rsid w:val="00072573"/>
    <w:rsid w:val="0007343D"/>
    <w:rsid w:val="00073E95"/>
    <w:rsid w:val="0007405E"/>
    <w:rsid w:val="00074523"/>
    <w:rsid w:val="000745C1"/>
    <w:rsid w:val="0007473A"/>
    <w:rsid w:val="00074C29"/>
    <w:rsid w:val="00074CB8"/>
    <w:rsid w:val="00076502"/>
    <w:rsid w:val="000775DD"/>
    <w:rsid w:val="000777C0"/>
    <w:rsid w:val="00077E78"/>
    <w:rsid w:val="00081AA4"/>
    <w:rsid w:val="00082203"/>
    <w:rsid w:val="00082346"/>
    <w:rsid w:val="000831F8"/>
    <w:rsid w:val="000841E5"/>
    <w:rsid w:val="00085204"/>
    <w:rsid w:val="00085B42"/>
    <w:rsid w:val="00086D4B"/>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7674"/>
    <w:rsid w:val="00097766"/>
    <w:rsid w:val="00097FB9"/>
    <w:rsid w:val="000A0442"/>
    <w:rsid w:val="000A0CD6"/>
    <w:rsid w:val="000A1036"/>
    <w:rsid w:val="000A1E91"/>
    <w:rsid w:val="000A2575"/>
    <w:rsid w:val="000A25D2"/>
    <w:rsid w:val="000A2631"/>
    <w:rsid w:val="000A3313"/>
    <w:rsid w:val="000A3BB4"/>
    <w:rsid w:val="000A4283"/>
    <w:rsid w:val="000A4354"/>
    <w:rsid w:val="000A5400"/>
    <w:rsid w:val="000A5B44"/>
    <w:rsid w:val="000A6658"/>
    <w:rsid w:val="000B0390"/>
    <w:rsid w:val="000B0F6F"/>
    <w:rsid w:val="000B1637"/>
    <w:rsid w:val="000B1715"/>
    <w:rsid w:val="000B23C7"/>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88C"/>
    <w:rsid w:val="000C245B"/>
    <w:rsid w:val="000C2AE6"/>
    <w:rsid w:val="000C354A"/>
    <w:rsid w:val="000C4AB7"/>
    <w:rsid w:val="000C4FD9"/>
    <w:rsid w:val="000C52A0"/>
    <w:rsid w:val="000C6B2C"/>
    <w:rsid w:val="000C70C2"/>
    <w:rsid w:val="000C7812"/>
    <w:rsid w:val="000D00A1"/>
    <w:rsid w:val="000D04C8"/>
    <w:rsid w:val="000D0769"/>
    <w:rsid w:val="000D0E5E"/>
    <w:rsid w:val="000D1018"/>
    <w:rsid w:val="000D211B"/>
    <w:rsid w:val="000D21CD"/>
    <w:rsid w:val="000D27D1"/>
    <w:rsid w:val="000D2A3F"/>
    <w:rsid w:val="000D344B"/>
    <w:rsid w:val="000D356E"/>
    <w:rsid w:val="000D3A94"/>
    <w:rsid w:val="000D51C8"/>
    <w:rsid w:val="000D5249"/>
    <w:rsid w:val="000D6185"/>
    <w:rsid w:val="000D6514"/>
    <w:rsid w:val="000D7FD6"/>
    <w:rsid w:val="000E0761"/>
    <w:rsid w:val="000E0BAE"/>
    <w:rsid w:val="000E166F"/>
    <w:rsid w:val="000E26DC"/>
    <w:rsid w:val="000E33BE"/>
    <w:rsid w:val="000E3DCC"/>
    <w:rsid w:val="000E41C7"/>
    <w:rsid w:val="000E4525"/>
    <w:rsid w:val="000E46D9"/>
    <w:rsid w:val="000E4E95"/>
    <w:rsid w:val="000E4F9E"/>
    <w:rsid w:val="000E50DD"/>
    <w:rsid w:val="000E640C"/>
    <w:rsid w:val="000E6A73"/>
    <w:rsid w:val="000E7308"/>
    <w:rsid w:val="000E7417"/>
    <w:rsid w:val="000E741F"/>
    <w:rsid w:val="000F1903"/>
    <w:rsid w:val="000F1A45"/>
    <w:rsid w:val="000F1AF9"/>
    <w:rsid w:val="000F21C8"/>
    <w:rsid w:val="000F3713"/>
    <w:rsid w:val="000F376A"/>
    <w:rsid w:val="000F37AB"/>
    <w:rsid w:val="000F4155"/>
    <w:rsid w:val="000F4491"/>
    <w:rsid w:val="000F44CB"/>
    <w:rsid w:val="000F4F2F"/>
    <w:rsid w:val="000F5866"/>
    <w:rsid w:val="000F620C"/>
    <w:rsid w:val="000F67AA"/>
    <w:rsid w:val="000F7591"/>
    <w:rsid w:val="000F7C4E"/>
    <w:rsid w:val="001000C3"/>
    <w:rsid w:val="0010071B"/>
    <w:rsid w:val="00100CE4"/>
    <w:rsid w:val="00102158"/>
    <w:rsid w:val="001027BD"/>
    <w:rsid w:val="001047E3"/>
    <w:rsid w:val="00104908"/>
    <w:rsid w:val="00104D5D"/>
    <w:rsid w:val="00105A9C"/>
    <w:rsid w:val="00106446"/>
    <w:rsid w:val="00107077"/>
    <w:rsid w:val="0010798D"/>
    <w:rsid w:val="00107FD9"/>
    <w:rsid w:val="00110169"/>
    <w:rsid w:val="00110B4B"/>
    <w:rsid w:val="001113FC"/>
    <w:rsid w:val="00111596"/>
    <w:rsid w:val="00111CC9"/>
    <w:rsid w:val="00112A3D"/>
    <w:rsid w:val="001133AC"/>
    <w:rsid w:val="00113C61"/>
    <w:rsid w:val="00114B15"/>
    <w:rsid w:val="00115CAE"/>
    <w:rsid w:val="001164E3"/>
    <w:rsid w:val="00117058"/>
    <w:rsid w:val="00117143"/>
    <w:rsid w:val="00117F56"/>
    <w:rsid w:val="00120369"/>
    <w:rsid w:val="00120A2E"/>
    <w:rsid w:val="001217FB"/>
    <w:rsid w:val="00121A30"/>
    <w:rsid w:val="001228FD"/>
    <w:rsid w:val="00122C85"/>
    <w:rsid w:val="001232B6"/>
    <w:rsid w:val="0012365B"/>
    <w:rsid w:val="001240B1"/>
    <w:rsid w:val="00124345"/>
    <w:rsid w:val="0012512A"/>
    <w:rsid w:val="00125769"/>
    <w:rsid w:val="00125F48"/>
    <w:rsid w:val="001260C6"/>
    <w:rsid w:val="00126231"/>
    <w:rsid w:val="001264B5"/>
    <w:rsid w:val="001264DC"/>
    <w:rsid w:val="00126A30"/>
    <w:rsid w:val="00127083"/>
    <w:rsid w:val="0013172D"/>
    <w:rsid w:val="00131C7A"/>
    <w:rsid w:val="00131F24"/>
    <w:rsid w:val="001322EF"/>
    <w:rsid w:val="001324B3"/>
    <w:rsid w:val="0013285B"/>
    <w:rsid w:val="00133D37"/>
    <w:rsid w:val="001345E9"/>
    <w:rsid w:val="00134894"/>
    <w:rsid w:val="001348D3"/>
    <w:rsid w:val="00135375"/>
    <w:rsid w:val="001370E3"/>
    <w:rsid w:val="0013764C"/>
    <w:rsid w:val="00137DBD"/>
    <w:rsid w:val="00137DCD"/>
    <w:rsid w:val="00140DA3"/>
    <w:rsid w:val="001413DF"/>
    <w:rsid w:val="00141BEE"/>
    <w:rsid w:val="00141CC8"/>
    <w:rsid w:val="00143121"/>
    <w:rsid w:val="00144141"/>
    <w:rsid w:val="00144B01"/>
    <w:rsid w:val="00144F97"/>
    <w:rsid w:val="00145474"/>
    <w:rsid w:val="00145791"/>
    <w:rsid w:val="00145878"/>
    <w:rsid w:val="0014699B"/>
    <w:rsid w:val="00146D14"/>
    <w:rsid w:val="00146FCF"/>
    <w:rsid w:val="00147AE5"/>
    <w:rsid w:val="00151BA6"/>
    <w:rsid w:val="00151FA8"/>
    <w:rsid w:val="0015269F"/>
    <w:rsid w:val="00153432"/>
    <w:rsid w:val="00153AE6"/>
    <w:rsid w:val="00153C89"/>
    <w:rsid w:val="00153E08"/>
    <w:rsid w:val="0015436C"/>
    <w:rsid w:val="001546BD"/>
    <w:rsid w:val="00156049"/>
    <w:rsid w:val="001564DB"/>
    <w:rsid w:val="00156F75"/>
    <w:rsid w:val="00157970"/>
    <w:rsid w:val="0016041F"/>
    <w:rsid w:val="00160A45"/>
    <w:rsid w:val="00160BC5"/>
    <w:rsid w:val="00160E3C"/>
    <w:rsid w:val="00161540"/>
    <w:rsid w:val="001617E9"/>
    <w:rsid w:val="00162175"/>
    <w:rsid w:val="00162403"/>
    <w:rsid w:val="0016254E"/>
    <w:rsid w:val="00162595"/>
    <w:rsid w:val="00162F23"/>
    <w:rsid w:val="001637C1"/>
    <w:rsid w:val="0016451E"/>
    <w:rsid w:val="00164C0D"/>
    <w:rsid w:val="001655DB"/>
    <w:rsid w:val="0016583A"/>
    <w:rsid w:val="00166009"/>
    <w:rsid w:val="00166A7A"/>
    <w:rsid w:val="00166F38"/>
    <w:rsid w:val="00167313"/>
    <w:rsid w:val="00167763"/>
    <w:rsid w:val="0017083C"/>
    <w:rsid w:val="001708E8"/>
    <w:rsid w:val="0017148D"/>
    <w:rsid w:val="00171490"/>
    <w:rsid w:val="0017284E"/>
    <w:rsid w:val="0017334A"/>
    <w:rsid w:val="0017358E"/>
    <w:rsid w:val="00173713"/>
    <w:rsid w:val="00173A95"/>
    <w:rsid w:val="00173B54"/>
    <w:rsid w:val="00173D83"/>
    <w:rsid w:val="0017404D"/>
    <w:rsid w:val="00175C3F"/>
    <w:rsid w:val="00175FE2"/>
    <w:rsid w:val="0017633E"/>
    <w:rsid w:val="001773C6"/>
    <w:rsid w:val="0017741D"/>
    <w:rsid w:val="001810E9"/>
    <w:rsid w:val="00181D2E"/>
    <w:rsid w:val="001828D3"/>
    <w:rsid w:val="00183415"/>
    <w:rsid w:val="00183543"/>
    <w:rsid w:val="0018363F"/>
    <w:rsid w:val="001846F2"/>
    <w:rsid w:val="00184F4B"/>
    <w:rsid w:val="001850A4"/>
    <w:rsid w:val="00185B43"/>
    <w:rsid w:val="00186927"/>
    <w:rsid w:val="001870D2"/>
    <w:rsid w:val="00190001"/>
    <w:rsid w:val="00190053"/>
    <w:rsid w:val="00190101"/>
    <w:rsid w:val="00190618"/>
    <w:rsid w:val="00190AE9"/>
    <w:rsid w:val="00190C8F"/>
    <w:rsid w:val="00191A57"/>
    <w:rsid w:val="00192075"/>
    <w:rsid w:val="00193526"/>
    <w:rsid w:val="00194270"/>
    <w:rsid w:val="00195484"/>
    <w:rsid w:val="00195771"/>
    <w:rsid w:val="001960A0"/>
    <w:rsid w:val="00196F72"/>
    <w:rsid w:val="00197441"/>
    <w:rsid w:val="001978FA"/>
    <w:rsid w:val="00197B7E"/>
    <w:rsid w:val="001A053D"/>
    <w:rsid w:val="001A101A"/>
    <w:rsid w:val="001A12A4"/>
    <w:rsid w:val="001A130A"/>
    <w:rsid w:val="001A1BA7"/>
    <w:rsid w:val="001A277B"/>
    <w:rsid w:val="001A2976"/>
    <w:rsid w:val="001A3AA5"/>
    <w:rsid w:val="001A3AFC"/>
    <w:rsid w:val="001A3BCB"/>
    <w:rsid w:val="001A4D9B"/>
    <w:rsid w:val="001A561A"/>
    <w:rsid w:val="001A58C6"/>
    <w:rsid w:val="001A59EB"/>
    <w:rsid w:val="001B0034"/>
    <w:rsid w:val="001B0B82"/>
    <w:rsid w:val="001B2294"/>
    <w:rsid w:val="001B308C"/>
    <w:rsid w:val="001B313B"/>
    <w:rsid w:val="001B383C"/>
    <w:rsid w:val="001B4215"/>
    <w:rsid w:val="001B4531"/>
    <w:rsid w:val="001B4F01"/>
    <w:rsid w:val="001B5907"/>
    <w:rsid w:val="001B5C78"/>
    <w:rsid w:val="001B6C7A"/>
    <w:rsid w:val="001C00F5"/>
    <w:rsid w:val="001C0C83"/>
    <w:rsid w:val="001C2072"/>
    <w:rsid w:val="001C2287"/>
    <w:rsid w:val="001C274B"/>
    <w:rsid w:val="001C2DAC"/>
    <w:rsid w:val="001C2E57"/>
    <w:rsid w:val="001C3004"/>
    <w:rsid w:val="001C3481"/>
    <w:rsid w:val="001C384D"/>
    <w:rsid w:val="001C3A97"/>
    <w:rsid w:val="001C3C24"/>
    <w:rsid w:val="001C4E4C"/>
    <w:rsid w:val="001C5444"/>
    <w:rsid w:val="001C6699"/>
    <w:rsid w:val="001C6C51"/>
    <w:rsid w:val="001C737E"/>
    <w:rsid w:val="001C7B25"/>
    <w:rsid w:val="001C7C83"/>
    <w:rsid w:val="001D0F5F"/>
    <w:rsid w:val="001D1A86"/>
    <w:rsid w:val="001D1EED"/>
    <w:rsid w:val="001D26DC"/>
    <w:rsid w:val="001D300D"/>
    <w:rsid w:val="001D302B"/>
    <w:rsid w:val="001D45FE"/>
    <w:rsid w:val="001D4B01"/>
    <w:rsid w:val="001D574C"/>
    <w:rsid w:val="001D5B75"/>
    <w:rsid w:val="001D7C01"/>
    <w:rsid w:val="001D7C7F"/>
    <w:rsid w:val="001E0663"/>
    <w:rsid w:val="001E0895"/>
    <w:rsid w:val="001E162A"/>
    <w:rsid w:val="001E1D4A"/>
    <w:rsid w:val="001E2054"/>
    <w:rsid w:val="001E3396"/>
    <w:rsid w:val="001E385A"/>
    <w:rsid w:val="001E3A6E"/>
    <w:rsid w:val="001E3AF6"/>
    <w:rsid w:val="001E3D6A"/>
    <w:rsid w:val="001E4458"/>
    <w:rsid w:val="001E59F7"/>
    <w:rsid w:val="001E6943"/>
    <w:rsid w:val="001E6A66"/>
    <w:rsid w:val="001E6EC4"/>
    <w:rsid w:val="001E707A"/>
    <w:rsid w:val="001E7CB7"/>
    <w:rsid w:val="001F0062"/>
    <w:rsid w:val="001F075D"/>
    <w:rsid w:val="001F130D"/>
    <w:rsid w:val="001F1819"/>
    <w:rsid w:val="001F3A23"/>
    <w:rsid w:val="001F4878"/>
    <w:rsid w:val="001F4C67"/>
    <w:rsid w:val="001F5321"/>
    <w:rsid w:val="001F534E"/>
    <w:rsid w:val="001F5593"/>
    <w:rsid w:val="001F59C4"/>
    <w:rsid w:val="001F5B18"/>
    <w:rsid w:val="001F7AFA"/>
    <w:rsid w:val="001F7DF3"/>
    <w:rsid w:val="00200789"/>
    <w:rsid w:val="002008A9"/>
    <w:rsid w:val="00200C39"/>
    <w:rsid w:val="00200D09"/>
    <w:rsid w:val="002018AB"/>
    <w:rsid w:val="002023F0"/>
    <w:rsid w:val="0020293A"/>
    <w:rsid w:val="0020308E"/>
    <w:rsid w:val="00203B9A"/>
    <w:rsid w:val="00203E00"/>
    <w:rsid w:val="00203EA6"/>
    <w:rsid w:val="0020489A"/>
    <w:rsid w:val="00204BF5"/>
    <w:rsid w:val="00205CF8"/>
    <w:rsid w:val="00206018"/>
    <w:rsid w:val="002065C2"/>
    <w:rsid w:val="00207D02"/>
    <w:rsid w:val="00210EE8"/>
    <w:rsid w:val="00210F21"/>
    <w:rsid w:val="00211F38"/>
    <w:rsid w:val="00212851"/>
    <w:rsid w:val="0021548B"/>
    <w:rsid w:val="002157B6"/>
    <w:rsid w:val="00215C17"/>
    <w:rsid w:val="00215D98"/>
    <w:rsid w:val="00216282"/>
    <w:rsid w:val="00216FA2"/>
    <w:rsid w:val="00217380"/>
    <w:rsid w:val="00217CD7"/>
    <w:rsid w:val="002203CE"/>
    <w:rsid w:val="00221240"/>
    <w:rsid w:val="00221600"/>
    <w:rsid w:val="00221BE4"/>
    <w:rsid w:val="0022208D"/>
    <w:rsid w:val="00222781"/>
    <w:rsid w:val="00222BF2"/>
    <w:rsid w:val="00223541"/>
    <w:rsid w:val="00223B66"/>
    <w:rsid w:val="002240A4"/>
    <w:rsid w:val="002241BE"/>
    <w:rsid w:val="0022478B"/>
    <w:rsid w:val="00224D61"/>
    <w:rsid w:val="002250B2"/>
    <w:rsid w:val="00225547"/>
    <w:rsid w:val="00226CCD"/>
    <w:rsid w:val="002275D2"/>
    <w:rsid w:val="00227AF9"/>
    <w:rsid w:val="002303FF"/>
    <w:rsid w:val="002309BF"/>
    <w:rsid w:val="00230B4C"/>
    <w:rsid w:val="00231419"/>
    <w:rsid w:val="00231C9E"/>
    <w:rsid w:val="0023235C"/>
    <w:rsid w:val="00232836"/>
    <w:rsid w:val="00232D80"/>
    <w:rsid w:val="0023339C"/>
    <w:rsid w:val="00234309"/>
    <w:rsid w:val="00235123"/>
    <w:rsid w:val="002416E2"/>
    <w:rsid w:val="002419D0"/>
    <w:rsid w:val="00241B41"/>
    <w:rsid w:val="002425FB"/>
    <w:rsid w:val="00242897"/>
    <w:rsid w:val="00242A62"/>
    <w:rsid w:val="002440DA"/>
    <w:rsid w:val="002444EA"/>
    <w:rsid w:val="00244B2A"/>
    <w:rsid w:val="0024502F"/>
    <w:rsid w:val="002455EE"/>
    <w:rsid w:val="00245814"/>
    <w:rsid w:val="00245EF6"/>
    <w:rsid w:val="002473F4"/>
    <w:rsid w:val="00247FF6"/>
    <w:rsid w:val="00250A62"/>
    <w:rsid w:val="00250EAD"/>
    <w:rsid w:val="0025131F"/>
    <w:rsid w:val="002521B3"/>
    <w:rsid w:val="00252D21"/>
    <w:rsid w:val="00253669"/>
    <w:rsid w:val="002538CF"/>
    <w:rsid w:val="00255AC7"/>
    <w:rsid w:val="002569C5"/>
    <w:rsid w:val="00256A84"/>
    <w:rsid w:val="00256C4B"/>
    <w:rsid w:val="002577AF"/>
    <w:rsid w:val="00257E34"/>
    <w:rsid w:val="00257F4D"/>
    <w:rsid w:val="00260902"/>
    <w:rsid w:val="00260A71"/>
    <w:rsid w:val="0026198C"/>
    <w:rsid w:val="00261AC6"/>
    <w:rsid w:val="00262ECC"/>
    <w:rsid w:val="00262FCB"/>
    <w:rsid w:val="00263AB2"/>
    <w:rsid w:val="002643E5"/>
    <w:rsid w:val="00264503"/>
    <w:rsid w:val="00264EB2"/>
    <w:rsid w:val="00265009"/>
    <w:rsid w:val="0026556A"/>
    <w:rsid w:val="0026558D"/>
    <w:rsid w:val="00265AE3"/>
    <w:rsid w:val="0026705D"/>
    <w:rsid w:val="0026738C"/>
    <w:rsid w:val="00267C83"/>
    <w:rsid w:val="002702C6"/>
    <w:rsid w:val="00270A47"/>
    <w:rsid w:val="00270DBF"/>
    <w:rsid w:val="0027201C"/>
    <w:rsid w:val="00272498"/>
    <w:rsid w:val="002725B6"/>
    <w:rsid w:val="002726B5"/>
    <w:rsid w:val="00272DCB"/>
    <w:rsid w:val="00274008"/>
    <w:rsid w:val="00274BE9"/>
    <w:rsid w:val="00276030"/>
    <w:rsid w:val="00276AC4"/>
    <w:rsid w:val="00276F7B"/>
    <w:rsid w:val="00277114"/>
    <w:rsid w:val="0027767A"/>
    <w:rsid w:val="00277D4D"/>
    <w:rsid w:val="00280407"/>
    <w:rsid w:val="002815E4"/>
    <w:rsid w:val="002816BE"/>
    <w:rsid w:val="0028240A"/>
    <w:rsid w:val="00282892"/>
    <w:rsid w:val="00283506"/>
    <w:rsid w:val="00283715"/>
    <w:rsid w:val="00283A43"/>
    <w:rsid w:val="00283A6D"/>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75C"/>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31A"/>
    <w:rsid w:val="002A5CB2"/>
    <w:rsid w:val="002A5E44"/>
    <w:rsid w:val="002A65E2"/>
    <w:rsid w:val="002A791C"/>
    <w:rsid w:val="002A7BBC"/>
    <w:rsid w:val="002B00AE"/>
    <w:rsid w:val="002B12E2"/>
    <w:rsid w:val="002B1662"/>
    <w:rsid w:val="002B1B39"/>
    <w:rsid w:val="002B2B01"/>
    <w:rsid w:val="002B35A2"/>
    <w:rsid w:val="002B3F03"/>
    <w:rsid w:val="002B4148"/>
    <w:rsid w:val="002B469A"/>
    <w:rsid w:val="002B51EA"/>
    <w:rsid w:val="002B5C26"/>
    <w:rsid w:val="002B7974"/>
    <w:rsid w:val="002C0DD0"/>
    <w:rsid w:val="002C100E"/>
    <w:rsid w:val="002C1AB9"/>
    <w:rsid w:val="002C2D6E"/>
    <w:rsid w:val="002C3042"/>
    <w:rsid w:val="002C32D1"/>
    <w:rsid w:val="002C33EB"/>
    <w:rsid w:val="002C363B"/>
    <w:rsid w:val="002C412F"/>
    <w:rsid w:val="002C465A"/>
    <w:rsid w:val="002C4AA2"/>
    <w:rsid w:val="002C666B"/>
    <w:rsid w:val="002C6C07"/>
    <w:rsid w:val="002C6E3F"/>
    <w:rsid w:val="002C7157"/>
    <w:rsid w:val="002D13DD"/>
    <w:rsid w:val="002D1777"/>
    <w:rsid w:val="002D2F30"/>
    <w:rsid w:val="002D4124"/>
    <w:rsid w:val="002D4618"/>
    <w:rsid w:val="002D47DE"/>
    <w:rsid w:val="002D54FF"/>
    <w:rsid w:val="002D5C40"/>
    <w:rsid w:val="002D61AB"/>
    <w:rsid w:val="002D61C7"/>
    <w:rsid w:val="002D71AA"/>
    <w:rsid w:val="002D73B2"/>
    <w:rsid w:val="002D7BB2"/>
    <w:rsid w:val="002E0B56"/>
    <w:rsid w:val="002E1B39"/>
    <w:rsid w:val="002E1F2C"/>
    <w:rsid w:val="002E1F79"/>
    <w:rsid w:val="002E273F"/>
    <w:rsid w:val="002E28E9"/>
    <w:rsid w:val="002E2BAB"/>
    <w:rsid w:val="002E31AC"/>
    <w:rsid w:val="002E348F"/>
    <w:rsid w:val="002E36ED"/>
    <w:rsid w:val="002E466F"/>
    <w:rsid w:val="002E6BFE"/>
    <w:rsid w:val="002E6C8D"/>
    <w:rsid w:val="002E742C"/>
    <w:rsid w:val="002F1878"/>
    <w:rsid w:val="002F1ED9"/>
    <w:rsid w:val="002F2CFB"/>
    <w:rsid w:val="002F4310"/>
    <w:rsid w:val="002F4865"/>
    <w:rsid w:val="002F499D"/>
    <w:rsid w:val="002F57E6"/>
    <w:rsid w:val="002F5D20"/>
    <w:rsid w:val="002F654F"/>
    <w:rsid w:val="002F6A96"/>
    <w:rsid w:val="002F6D2B"/>
    <w:rsid w:val="002F6E2E"/>
    <w:rsid w:val="002F7978"/>
    <w:rsid w:val="002F7B60"/>
    <w:rsid w:val="0030033B"/>
    <w:rsid w:val="0030203A"/>
    <w:rsid w:val="0030277D"/>
    <w:rsid w:val="00302B82"/>
    <w:rsid w:val="00303923"/>
    <w:rsid w:val="00306A74"/>
    <w:rsid w:val="00311CEC"/>
    <w:rsid w:val="00313225"/>
    <w:rsid w:val="00313325"/>
    <w:rsid w:val="00313A4D"/>
    <w:rsid w:val="00313F34"/>
    <w:rsid w:val="00314ACC"/>
    <w:rsid w:val="00314DB9"/>
    <w:rsid w:val="003158D4"/>
    <w:rsid w:val="00316A6C"/>
    <w:rsid w:val="0031707F"/>
    <w:rsid w:val="00317639"/>
    <w:rsid w:val="003216FD"/>
    <w:rsid w:val="00321E2F"/>
    <w:rsid w:val="003246F2"/>
    <w:rsid w:val="00324865"/>
    <w:rsid w:val="00324B01"/>
    <w:rsid w:val="00324E36"/>
    <w:rsid w:val="0032557C"/>
    <w:rsid w:val="00326478"/>
    <w:rsid w:val="0032788A"/>
    <w:rsid w:val="0032795C"/>
    <w:rsid w:val="00330AFC"/>
    <w:rsid w:val="00331031"/>
    <w:rsid w:val="00331281"/>
    <w:rsid w:val="0033138C"/>
    <w:rsid w:val="0033310A"/>
    <w:rsid w:val="003333CF"/>
    <w:rsid w:val="0033420E"/>
    <w:rsid w:val="003347D8"/>
    <w:rsid w:val="003347F8"/>
    <w:rsid w:val="003348AD"/>
    <w:rsid w:val="003350FF"/>
    <w:rsid w:val="0033575A"/>
    <w:rsid w:val="003359F2"/>
    <w:rsid w:val="00335BF6"/>
    <w:rsid w:val="00337CDA"/>
    <w:rsid w:val="00340374"/>
    <w:rsid w:val="003405B0"/>
    <w:rsid w:val="00340734"/>
    <w:rsid w:val="0034095A"/>
    <w:rsid w:val="00340B45"/>
    <w:rsid w:val="003418D5"/>
    <w:rsid w:val="00341D21"/>
    <w:rsid w:val="0034287E"/>
    <w:rsid w:val="00342E44"/>
    <w:rsid w:val="00343125"/>
    <w:rsid w:val="00343334"/>
    <w:rsid w:val="00344591"/>
    <w:rsid w:val="00344DAA"/>
    <w:rsid w:val="003453C0"/>
    <w:rsid w:val="0034653F"/>
    <w:rsid w:val="00346F10"/>
    <w:rsid w:val="00347500"/>
    <w:rsid w:val="00347DC8"/>
    <w:rsid w:val="00350642"/>
    <w:rsid w:val="0035087B"/>
    <w:rsid w:val="00352E5D"/>
    <w:rsid w:val="003538B4"/>
    <w:rsid w:val="00353D3F"/>
    <w:rsid w:val="003546A7"/>
    <w:rsid w:val="00354CEA"/>
    <w:rsid w:val="00354E41"/>
    <w:rsid w:val="00355F7D"/>
    <w:rsid w:val="003565D4"/>
    <w:rsid w:val="00356C0C"/>
    <w:rsid w:val="00356EE8"/>
    <w:rsid w:val="003571D2"/>
    <w:rsid w:val="00357A18"/>
    <w:rsid w:val="00357CAE"/>
    <w:rsid w:val="0036003D"/>
    <w:rsid w:val="00360148"/>
    <w:rsid w:val="003601EE"/>
    <w:rsid w:val="0036092F"/>
    <w:rsid w:val="0036212C"/>
    <w:rsid w:val="0036259B"/>
    <w:rsid w:val="00363CDD"/>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498E"/>
    <w:rsid w:val="003751D4"/>
    <w:rsid w:val="00375AFE"/>
    <w:rsid w:val="003765C9"/>
    <w:rsid w:val="0037765F"/>
    <w:rsid w:val="0037789B"/>
    <w:rsid w:val="003805C3"/>
    <w:rsid w:val="003808DC"/>
    <w:rsid w:val="003812EE"/>
    <w:rsid w:val="00381353"/>
    <w:rsid w:val="0038155E"/>
    <w:rsid w:val="003817D3"/>
    <w:rsid w:val="00381AD3"/>
    <w:rsid w:val="00382023"/>
    <w:rsid w:val="00382317"/>
    <w:rsid w:val="00382748"/>
    <w:rsid w:val="0038366B"/>
    <w:rsid w:val="00383A37"/>
    <w:rsid w:val="00383E27"/>
    <w:rsid w:val="00384533"/>
    <w:rsid w:val="00384A33"/>
    <w:rsid w:val="00384F53"/>
    <w:rsid w:val="0038718B"/>
    <w:rsid w:val="00390037"/>
    <w:rsid w:val="003908CB"/>
    <w:rsid w:val="0039092C"/>
    <w:rsid w:val="00390F51"/>
    <w:rsid w:val="00391805"/>
    <w:rsid w:val="00391E03"/>
    <w:rsid w:val="0039256D"/>
    <w:rsid w:val="00392780"/>
    <w:rsid w:val="003944E4"/>
    <w:rsid w:val="003946D6"/>
    <w:rsid w:val="003965DB"/>
    <w:rsid w:val="003966A4"/>
    <w:rsid w:val="00397EA7"/>
    <w:rsid w:val="003A03C9"/>
    <w:rsid w:val="003A131A"/>
    <w:rsid w:val="003A14D8"/>
    <w:rsid w:val="003A1873"/>
    <w:rsid w:val="003A3153"/>
    <w:rsid w:val="003A389D"/>
    <w:rsid w:val="003A4099"/>
    <w:rsid w:val="003A4133"/>
    <w:rsid w:val="003A4572"/>
    <w:rsid w:val="003A48A3"/>
    <w:rsid w:val="003A4DEB"/>
    <w:rsid w:val="003A56B4"/>
    <w:rsid w:val="003A63A3"/>
    <w:rsid w:val="003A6FD1"/>
    <w:rsid w:val="003A7CE9"/>
    <w:rsid w:val="003A7D94"/>
    <w:rsid w:val="003B02A4"/>
    <w:rsid w:val="003B074C"/>
    <w:rsid w:val="003B0865"/>
    <w:rsid w:val="003B304F"/>
    <w:rsid w:val="003B30BB"/>
    <w:rsid w:val="003B36FD"/>
    <w:rsid w:val="003B52E3"/>
    <w:rsid w:val="003B5E5D"/>
    <w:rsid w:val="003B6EB4"/>
    <w:rsid w:val="003C0A14"/>
    <w:rsid w:val="003C1256"/>
    <w:rsid w:val="003C1404"/>
    <w:rsid w:val="003C229B"/>
    <w:rsid w:val="003C2F63"/>
    <w:rsid w:val="003C34ED"/>
    <w:rsid w:val="003C4815"/>
    <w:rsid w:val="003C5D94"/>
    <w:rsid w:val="003C6855"/>
    <w:rsid w:val="003C6EC4"/>
    <w:rsid w:val="003C7A73"/>
    <w:rsid w:val="003D061C"/>
    <w:rsid w:val="003D16A0"/>
    <w:rsid w:val="003D1765"/>
    <w:rsid w:val="003D188B"/>
    <w:rsid w:val="003D3B4B"/>
    <w:rsid w:val="003D3B9A"/>
    <w:rsid w:val="003D42BA"/>
    <w:rsid w:val="003D4669"/>
    <w:rsid w:val="003D5E2A"/>
    <w:rsid w:val="003D6B57"/>
    <w:rsid w:val="003D6CDE"/>
    <w:rsid w:val="003E0880"/>
    <w:rsid w:val="003E0893"/>
    <w:rsid w:val="003E0C00"/>
    <w:rsid w:val="003E2C5A"/>
    <w:rsid w:val="003E3CBC"/>
    <w:rsid w:val="003E4724"/>
    <w:rsid w:val="003E5316"/>
    <w:rsid w:val="003E5AEC"/>
    <w:rsid w:val="003E5B81"/>
    <w:rsid w:val="003E63DA"/>
    <w:rsid w:val="003E6B75"/>
    <w:rsid w:val="003E6E9A"/>
    <w:rsid w:val="003E6FD8"/>
    <w:rsid w:val="003E7A91"/>
    <w:rsid w:val="003F000C"/>
    <w:rsid w:val="003F0052"/>
    <w:rsid w:val="003F0693"/>
    <w:rsid w:val="003F080A"/>
    <w:rsid w:val="003F1497"/>
    <w:rsid w:val="003F2BA3"/>
    <w:rsid w:val="003F405E"/>
    <w:rsid w:val="003F4347"/>
    <w:rsid w:val="003F4609"/>
    <w:rsid w:val="003F47E7"/>
    <w:rsid w:val="003F4887"/>
    <w:rsid w:val="003F5DEA"/>
    <w:rsid w:val="003F6718"/>
    <w:rsid w:val="003F6A15"/>
    <w:rsid w:val="003F7A91"/>
    <w:rsid w:val="003F7E8E"/>
    <w:rsid w:val="004006C1"/>
    <w:rsid w:val="00400ACB"/>
    <w:rsid w:val="004014AC"/>
    <w:rsid w:val="00401D58"/>
    <w:rsid w:val="00401EA9"/>
    <w:rsid w:val="00402BA3"/>
    <w:rsid w:val="004041BB"/>
    <w:rsid w:val="00404A4D"/>
    <w:rsid w:val="00404D49"/>
    <w:rsid w:val="0040556F"/>
    <w:rsid w:val="00405C57"/>
    <w:rsid w:val="0040628F"/>
    <w:rsid w:val="0040634B"/>
    <w:rsid w:val="00406717"/>
    <w:rsid w:val="00406F15"/>
    <w:rsid w:val="00407DF5"/>
    <w:rsid w:val="00407DFC"/>
    <w:rsid w:val="004112B7"/>
    <w:rsid w:val="004113F2"/>
    <w:rsid w:val="0041189C"/>
    <w:rsid w:val="00411A2A"/>
    <w:rsid w:val="00412846"/>
    <w:rsid w:val="0041286B"/>
    <w:rsid w:val="00412E55"/>
    <w:rsid w:val="00412EDA"/>
    <w:rsid w:val="00413199"/>
    <w:rsid w:val="00413487"/>
    <w:rsid w:val="00413ED6"/>
    <w:rsid w:val="0041470D"/>
    <w:rsid w:val="00415306"/>
    <w:rsid w:val="004153E5"/>
    <w:rsid w:val="00416293"/>
    <w:rsid w:val="004165A5"/>
    <w:rsid w:val="004165E0"/>
    <w:rsid w:val="00417D39"/>
    <w:rsid w:val="00420190"/>
    <w:rsid w:val="0042020F"/>
    <w:rsid w:val="004209AD"/>
    <w:rsid w:val="00420E26"/>
    <w:rsid w:val="00423265"/>
    <w:rsid w:val="00423A98"/>
    <w:rsid w:val="00423AB0"/>
    <w:rsid w:val="0042419A"/>
    <w:rsid w:val="004241CA"/>
    <w:rsid w:val="00424664"/>
    <w:rsid w:val="004248FC"/>
    <w:rsid w:val="00424A0F"/>
    <w:rsid w:val="00424DB7"/>
    <w:rsid w:val="0042508B"/>
    <w:rsid w:val="004254DE"/>
    <w:rsid w:val="004255AF"/>
    <w:rsid w:val="00425EF9"/>
    <w:rsid w:val="00426293"/>
    <w:rsid w:val="0043056E"/>
    <w:rsid w:val="0043102C"/>
    <w:rsid w:val="00431770"/>
    <w:rsid w:val="00431D80"/>
    <w:rsid w:val="0043264C"/>
    <w:rsid w:val="00432EDE"/>
    <w:rsid w:val="00433339"/>
    <w:rsid w:val="00433361"/>
    <w:rsid w:val="004336CF"/>
    <w:rsid w:val="00433970"/>
    <w:rsid w:val="00433A76"/>
    <w:rsid w:val="00433ED1"/>
    <w:rsid w:val="004343D0"/>
    <w:rsid w:val="004346A4"/>
    <w:rsid w:val="00434E74"/>
    <w:rsid w:val="004352D0"/>
    <w:rsid w:val="00435970"/>
    <w:rsid w:val="004366AC"/>
    <w:rsid w:val="0043672A"/>
    <w:rsid w:val="00436879"/>
    <w:rsid w:val="00437703"/>
    <w:rsid w:val="00437C0C"/>
    <w:rsid w:val="00437DC8"/>
    <w:rsid w:val="004400A7"/>
    <w:rsid w:val="00440935"/>
    <w:rsid w:val="0044116C"/>
    <w:rsid w:val="0044137D"/>
    <w:rsid w:val="00441DE0"/>
    <w:rsid w:val="004428F8"/>
    <w:rsid w:val="004438EC"/>
    <w:rsid w:val="0044523D"/>
    <w:rsid w:val="004455B2"/>
    <w:rsid w:val="00445686"/>
    <w:rsid w:val="0044589A"/>
    <w:rsid w:val="00446471"/>
    <w:rsid w:val="00446EC7"/>
    <w:rsid w:val="004470BD"/>
    <w:rsid w:val="00447425"/>
    <w:rsid w:val="00447B38"/>
    <w:rsid w:val="00447F68"/>
    <w:rsid w:val="004508EB"/>
    <w:rsid w:val="004515F1"/>
    <w:rsid w:val="004533AE"/>
    <w:rsid w:val="004538F9"/>
    <w:rsid w:val="00453947"/>
    <w:rsid w:val="004545E1"/>
    <w:rsid w:val="004546A2"/>
    <w:rsid w:val="00454E37"/>
    <w:rsid w:val="004552B6"/>
    <w:rsid w:val="00455592"/>
    <w:rsid w:val="00456A2C"/>
    <w:rsid w:val="004571B3"/>
    <w:rsid w:val="00457B50"/>
    <w:rsid w:val="004605AD"/>
    <w:rsid w:val="00460668"/>
    <w:rsid w:val="00460C04"/>
    <w:rsid w:val="004611C1"/>
    <w:rsid w:val="0046165E"/>
    <w:rsid w:val="00461AB1"/>
    <w:rsid w:val="00462B72"/>
    <w:rsid w:val="004636F8"/>
    <w:rsid w:val="00465AF5"/>
    <w:rsid w:val="004661B0"/>
    <w:rsid w:val="00466D57"/>
    <w:rsid w:val="00466FEA"/>
    <w:rsid w:val="004702BD"/>
    <w:rsid w:val="00470775"/>
    <w:rsid w:val="004707A5"/>
    <w:rsid w:val="0047091D"/>
    <w:rsid w:val="00470F25"/>
    <w:rsid w:val="00472D5C"/>
    <w:rsid w:val="00473430"/>
    <w:rsid w:val="00473A7F"/>
    <w:rsid w:val="0047596E"/>
    <w:rsid w:val="00477123"/>
    <w:rsid w:val="00477865"/>
    <w:rsid w:val="00480F9B"/>
    <w:rsid w:val="00482A44"/>
    <w:rsid w:val="004838AA"/>
    <w:rsid w:val="00484599"/>
    <w:rsid w:val="00484787"/>
    <w:rsid w:val="00484AFF"/>
    <w:rsid w:val="004851C5"/>
    <w:rsid w:val="00485335"/>
    <w:rsid w:val="00485F0D"/>
    <w:rsid w:val="0048799E"/>
    <w:rsid w:val="00487EFD"/>
    <w:rsid w:val="004911DC"/>
    <w:rsid w:val="004920BD"/>
    <w:rsid w:val="0049332A"/>
    <w:rsid w:val="0049418A"/>
    <w:rsid w:val="004944B6"/>
    <w:rsid w:val="00494A80"/>
    <w:rsid w:val="00495C98"/>
    <w:rsid w:val="00496730"/>
    <w:rsid w:val="00497B68"/>
    <w:rsid w:val="004A0A9E"/>
    <w:rsid w:val="004A3B8B"/>
    <w:rsid w:val="004A3C0F"/>
    <w:rsid w:val="004A4630"/>
    <w:rsid w:val="004A4CC2"/>
    <w:rsid w:val="004A5AEC"/>
    <w:rsid w:val="004A6571"/>
    <w:rsid w:val="004A7642"/>
    <w:rsid w:val="004A7952"/>
    <w:rsid w:val="004A7ACC"/>
    <w:rsid w:val="004A7AFF"/>
    <w:rsid w:val="004A7C50"/>
    <w:rsid w:val="004B1465"/>
    <w:rsid w:val="004B1696"/>
    <w:rsid w:val="004B1ECD"/>
    <w:rsid w:val="004B268D"/>
    <w:rsid w:val="004B45CB"/>
    <w:rsid w:val="004B4A82"/>
    <w:rsid w:val="004B5555"/>
    <w:rsid w:val="004B5A76"/>
    <w:rsid w:val="004B6A9B"/>
    <w:rsid w:val="004C0A57"/>
    <w:rsid w:val="004C159B"/>
    <w:rsid w:val="004C1CEC"/>
    <w:rsid w:val="004C2A1A"/>
    <w:rsid w:val="004C2E38"/>
    <w:rsid w:val="004C39FF"/>
    <w:rsid w:val="004C41D1"/>
    <w:rsid w:val="004C4320"/>
    <w:rsid w:val="004C5584"/>
    <w:rsid w:val="004C6B9E"/>
    <w:rsid w:val="004C6C6E"/>
    <w:rsid w:val="004C780E"/>
    <w:rsid w:val="004D090D"/>
    <w:rsid w:val="004D14D8"/>
    <w:rsid w:val="004D2C1C"/>
    <w:rsid w:val="004D3D91"/>
    <w:rsid w:val="004D4549"/>
    <w:rsid w:val="004D4A8E"/>
    <w:rsid w:val="004D5ACE"/>
    <w:rsid w:val="004D5BB9"/>
    <w:rsid w:val="004D7834"/>
    <w:rsid w:val="004D7BF8"/>
    <w:rsid w:val="004E01E1"/>
    <w:rsid w:val="004E0B7A"/>
    <w:rsid w:val="004E0B8E"/>
    <w:rsid w:val="004E0E53"/>
    <w:rsid w:val="004E1894"/>
    <w:rsid w:val="004E18EE"/>
    <w:rsid w:val="004E2CF6"/>
    <w:rsid w:val="004E3B13"/>
    <w:rsid w:val="004E3BBF"/>
    <w:rsid w:val="004E495B"/>
    <w:rsid w:val="004E4CC2"/>
    <w:rsid w:val="004E518C"/>
    <w:rsid w:val="004E6E07"/>
    <w:rsid w:val="004E6F94"/>
    <w:rsid w:val="004E7578"/>
    <w:rsid w:val="004F0107"/>
    <w:rsid w:val="004F0FB3"/>
    <w:rsid w:val="004F1699"/>
    <w:rsid w:val="004F17FB"/>
    <w:rsid w:val="004F3090"/>
    <w:rsid w:val="004F4346"/>
    <w:rsid w:val="004F489A"/>
    <w:rsid w:val="004F4A39"/>
    <w:rsid w:val="004F4D75"/>
    <w:rsid w:val="004F5BC7"/>
    <w:rsid w:val="004F5F21"/>
    <w:rsid w:val="004F66D0"/>
    <w:rsid w:val="004F6747"/>
    <w:rsid w:val="004F6807"/>
    <w:rsid w:val="004F6E30"/>
    <w:rsid w:val="00500332"/>
    <w:rsid w:val="00500F88"/>
    <w:rsid w:val="00501933"/>
    <w:rsid w:val="00502706"/>
    <w:rsid w:val="005032CE"/>
    <w:rsid w:val="00504154"/>
    <w:rsid w:val="00504223"/>
    <w:rsid w:val="00504419"/>
    <w:rsid w:val="0050477B"/>
    <w:rsid w:val="00504CE2"/>
    <w:rsid w:val="005052E6"/>
    <w:rsid w:val="005057CC"/>
    <w:rsid w:val="00505858"/>
    <w:rsid w:val="00505A9A"/>
    <w:rsid w:val="00505F80"/>
    <w:rsid w:val="00506735"/>
    <w:rsid w:val="005069A5"/>
    <w:rsid w:val="005075CD"/>
    <w:rsid w:val="00507E86"/>
    <w:rsid w:val="0051075D"/>
    <w:rsid w:val="0051089D"/>
    <w:rsid w:val="00510C9C"/>
    <w:rsid w:val="00510FC4"/>
    <w:rsid w:val="005115F3"/>
    <w:rsid w:val="005119FE"/>
    <w:rsid w:val="00512441"/>
    <w:rsid w:val="0051292A"/>
    <w:rsid w:val="00512BF2"/>
    <w:rsid w:val="00513834"/>
    <w:rsid w:val="00514908"/>
    <w:rsid w:val="00514A6D"/>
    <w:rsid w:val="00515EB7"/>
    <w:rsid w:val="00516AAA"/>
    <w:rsid w:val="00520518"/>
    <w:rsid w:val="005208EB"/>
    <w:rsid w:val="005209D7"/>
    <w:rsid w:val="005209E3"/>
    <w:rsid w:val="00520CD4"/>
    <w:rsid w:val="005216BC"/>
    <w:rsid w:val="0052205A"/>
    <w:rsid w:val="00523A75"/>
    <w:rsid w:val="00523D1E"/>
    <w:rsid w:val="00523D76"/>
    <w:rsid w:val="0052537E"/>
    <w:rsid w:val="005258A6"/>
    <w:rsid w:val="00525F48"/>
    <w:rsid w:val="0052611C"/>
    <w:rsid w:val="005261F1"/>
    <w:rsid w:val="00526332"/>
    <w:rsid w:val="00526784"/>
    <w:rsid w:val="00526E2C"/>
    <w:rsid w:val="00527268"/>
    <w:rsid w:val="00527CD2"/>
    <w:rsid w:val="00531527"/>
    <w:rsid w:val="005316B6"/>
    <w:rsid w:val="005321A3"/>
    <w:rsid w:val="00532885"/>
    <w:rsid w:val="00533851"/>
    <w:rsid w:val="00533FFC"/>
    <w:rsid w:val="0053539D"/>
    <w:rsid w:val="005361E0"/>
    <w:rsid w:val="005378EF"/>
    <w:rsid w:val="0054010E"/>
    <w:rsid w:val="00540570"/>
    <w:rsid w:val="00542C2E"/>
    <w:rsid w:val="005437CF"/>
    <w:rsid w:val="00543868"/>
    <w:rsid w:val="005439FC"/>
    <w:rsid w:val="0054482C"/>
    <w:rsid w:val="0054557C"/>
    <w:rsid w:val="005457F7"/>
    <w:rsid w:val="0054594A"/>
    <w:rsid w:val="00547B5A"/>
    <w:rsid w:val="00547F13"/>
    <w:rsid w:val="00550144"/>
    <w:rsid w:val="00550282"/>
    <w:rsid w:val="00550EB7"/>
    <w:rsid w:val="0055130D"/>
    <w:rsid w:val="00552F80"/>
    <w:rsid w:val="0055347D"/>
    <w:rsid w:val="005536BC"/>
    <w:rsid w:val="00554861"/>
    <w:rsid w:val="005550DD"/>
    <w:rsid w:val="00555359"/>
    <w:rsid w:val="005556E4"/>
    <w:rsid w:val="0055639A"/>
    <w:rsid w:val="005575BA"/>
    <w:rsid w:val="00557DC5"/>
    <w:rsid w:val="005601C1"/>
    <w:rsid w:val="005602EE"/>
    <w:rsid w:val="00560D46"/>
    <w:rsid w:val="00560F77"/>
    <w:rsid w:val="00561078"/>
    <w:rsid w:val="00561EA3"/>
    <w:rsid w:val="005624A0"/>
    <w:rsid w:val="005634AE"/>
    <w:rsid w:val="005635C8"/>
    <w:rsid w:val="00564B12"/>
    <w:rsid w:val="0056550D"/>
    <w:rsid w:val="005655AC"/>
    <w:rsid w:val="005659AC"/>
    <w:rsid w:val="00566122"/>
    <w:rsid w:val="005665E1"/>
    <w:rsid w:val="0056670A"/>
    <w:rsid w:val="00567592"/>
    <w:rsid w:val="00567730"/>
    <w:rsid w:val="00567B55"/>
    <w:rsid w:val="005701BB"/>
    <w:rsid w:val="0057091C"/>
    <w:rsid w:val="005709B5"/>
    <w:rsid w:val="00570BB9"/>
    <w:rsid w:val="00571017"/>
    <w:rsid w:val="005712A8"/>
    <w:rsid w:val="00572418"/>
    <w:rsid w:val="00572A77"/>
    <w:rsid w:val="0057352D"/>
    <w:rsid w:val="0057358B"/>
    <w:rsid w:val="00573BE5"/>
    <w:rsid w:val="00573E25"/>
    <w:rsid w:val="00574301"/>
    <w:rsid w:val="00574806"/>
    <w:rsid w:val="005752A3"/>
    <w:rsid w:val="0057584C"/>
    <w:rsid w:val="00575CB7"/>
    <w:rsid w:val="00577D51"/>
    <w:rsid w:val="00580E50"/>
    <w:rsid w:val="00580F55"/>
    <w:rsid w:val="00581F88"/>
    <w:rsid w:val="00583CD9"/>
    <w:rsid w:val="00583F70"/>
    <w:rsid w:val="00584D05"/>
    <w:rsid w:val="0058523D"/>
    <w:rsid w:val="0058555A"/>
    <w:rsid w:val="00586626"/>
    <w:rsid w:val="00586934"/>
    <w:rsid w:val="00587C00"/>
    <w:rsid w:val="00587E4F"/>
    <w:rsid w:val="00587E60"/>
    <w:rsid w:val="0059033F"/>
    <w:rsid w:val="00590527"/>
    <w:rsid w:val="00591BBD"/>
    <w:rsid w:val="00593121"/>
    <w:rsid w:val="00593E18"/>
    <w:rsid w:val="0059449D"/>
    <w:rsid w:val="00596066"/>
    <w:rsid w:val="005976B8"/>
    <w:rsid w:val="00597E4B"/>
    <w:rsid w:val="005A10EA"/>
    <w:rsid w:val="005A1260"/>
    <w:rsid w:val="005A2328"/>
    <w:rsid w:val="005A259D"/>
    <w:rsid w:val="005A2FA1"/>
    <w:rsid w:val="005A3014"/>
    <w:rsid w:val="005A35B6"/>
    <w:rsid w:val="005A40AD"/>
    <w:rsid w:val="005A4232"/>
    <w:rsid w:val="005A50A0"/>
    <w:rsid w:val="005A5CED"/>
    <w:rsid w:val="005A6740"/>
    <w:rsid w:val="005A6767"/>
    <w:rsid w:val="005A77C9"/>
    <w:rsid w:val="005A7A37"/>
    <w:rsid w:val="005B016E"/>
    <w:rsid w:val="005B03C3"/>
    <w:rsid w:val="005B0807"/>
    <w:rsid w:val="005B09FE"/>
    <w:rsid w:val="005B0C96"/>
    <w:rsid w:val="005B1244"/>
    <w:rsid w:val="005B214B"/>
    <w:rsid w:val="005B2AD5"/>
    <w:rsid w:val="005B2CA3"/>
    <w:rsid w:val="005B3314"/>
    <w:rsid w:val="005B342D"/>
    <w:rsid w:val="005B3467"/>
    <w:rsid w:val="005B3B56"/>
    <w:rsid w:val="005B3F5A"/>
    <w:rsid w:val="005B5AF6"/>
    <w:rsid w:val="005B617A"/>
    <w:rsid w:val="005B61FE"/>
    <w:rsid w:val="005B6687"/>
    <w:rsid w:val="005B6F9F"/>
    <w:rsid w:val="005B73A4"/>
    <w:rsid w:val="005C09B3"/>
    <w:rsid w:val="005C0D7E"/>
    <w:rsid w:val="005C0DE7"/>
    <w:rsid w:val="005C0EBF"/>
    <w:rsid w:val="005C0F07"/>
    <w:rsid w:val="005C177B"/>
    <w:rsid w:val="005C1CA1"/>
    <w:rsid w:val="005C2DE6"/>
    <w:rsid w:val="005C3E05"/>
    <w:rsid w:val="005C4EBF"/>
    <w:rsid w:val="005C5098"/>
    <w:rsid w:val="005C58EB"/>
    <w:rsid w:val="005C5977"/>
    <w:rsid w:val="005C62AC"/>
    <w:rsid w:val="005C667C"/>
    <w:rsid w:val="005C7ED7"/>
    <w:rsid w:val="005D01A4"/>
    <w:rsid w:val="005D088D"/>
    <w:rsid w:val="005D0D39"/>
    <w:rsid w:val="005D1A7D"/>
    <w:rsid w:val="005D1D9B"/>
    <w:rsid w:val="005D1E7D"/>
    <w:rsid w:val="005D1F21"/>
    <w:rsid w:val="005D392F"/>
    <w:rsid w:val="005D57AA"/>
    <w:rsid w:val="005D5D39"/>
    <w:rsid w:val="005D78A2"/>
    <w:rsid w:val="005E0771"/>
    <w:rsid w:val="005E0C45"/>
    <w:rsid w:val="005E1438"/>
    <w:rsid w:val="005E1C52"/>
    <w:rsid w:val="005E2E68"/>
    <w:rsid w:val="005E33D2"/>
    <w:rsid w:val="005E41E1"/>
    <w:rsid w:val="005E4442"/>
    <w:rsid w:val="005E4BD2"/>
    <w:rsid w:val="005E501E"/>
    <w:rsid w:val="005E50F3"/>
    <w:rsid w:val="005E5307"/>
    <w:rsid w:val="005E5490"/>
    <w:rsid w:val="005E5F00"/>
    <w:rsid w:val="005E6079"/>
    <w:rsid w:val="005E7B3D"/>
    <w:rsid w:val="005E7B54"/>
    <w:rsid w:val="005F07ED"/>
    <w:rsid w:val="005F09F7"/>
    <w:rsid w:val="005F0DBF"/>
    <w:rsid w:val="005F19A5"/>
    <w:rsid w:val="005F2070"/>
    <w:rsid w:val="005F2D4C"/>
    <w:rsid w:val="005F3033"/>
    <w:rsid w:val="005F31D5"/>
    <w:rsid w:val="005F3236"/>
    <w:rsid w:val="005F37D4"/>
    <w:rsid w:val="005F42D2"/>
    <w:rsid w:val="005F4DD9"/>
    <w:rsid w:val="005F51F9"/>
    <w:rsid w:val="005F554A"/>
    <w:rsid w:val="005F67E2"/>
    <w:rsid w:val="005F6D71"/>
    <w:rsid w:val="006008EC"/>
    <w:rsid w:val="0060107E"/>
    <w:rsid w:val="006020D9"/>
    <w:rsid w:val="00602225"/>
    <w:rsid w:val="0060267A"/>
    <w:rsid w:val="00602F71"/>
    <w:rsid w:val="006030D6"/>
    <w:rsid w:val="006043A4"/>
    <w:rsid w:val="006045CD"/>
    <w:rsid w:val="006048D0"/>
    <w:rsid w:val="00605007"/>
    <w:rsid w:val="0060594A"/>
    <w:rsid w:val="006060BB"/>
    <w:rsid w:val="006061BE"/>
    <w:rsid w:val="006102C2"/>
    <w:rsid w:val="006105B3"/>
    <w:rsid w:val="006119B8"/>
    <w:rsid w:val="00611A6A"/>
    <w:rsid w:val="00611A6C"/>
    <w:rsid w:val="00611AF5"/>
    <w:rsid w:val="006128B0"/>
    <w:rsid w:val="00612E64"/>
    <w:rsid w:val="006143D2"/>
    <w:rsid w:val="00614CD3"/>
    <w:rsid w:val="0061627F"/>
    <w:rsid w:val="00616BF1"/>
    <w:rsid w:val="00617F54"/>
    <w:rsid w:val="0062043A"/>
    <w:rsid w:val="00620808"/>
    <w:rsid w:val="00621417"/>
    <w:rsid w:val="006217CC"/>
    <w:rsid w:val="006217E3"/>
    <w:rsid w:val="00621A67"/>
    <w:rsid w:val="00621EDB"/>
    <w:rsid w:val="00622F37"/>
    <w:rsid w:val="006232A3"/>
    <w:rsid w:val="006240A6"/>
    <w:rsid w:val="006242DF"/>
    <w:rsid w:val="0062497C"/>
    <w:rsid w:val="00624EB7"/>
    <w:rsid w:val="0062600E"/>
    <w:rsid w:val="0062653B"/>
    <w:rsid w:val="00626EC9"/>
    <w:rsid w:val="00627EBD"/>
    <w:rsid w:val="00632A0E"/>
    <w:rsid w:val="00632BA3"/>
    <w:rsid w:val="006333E2"/>
    <w:rsid w:val="006334F8"/>
    <w:rsid w:val="006341DC"/>
    <w:rsid w:val="00635258"/>
    <w:rsid w:val="00635989"/>
    <w:rsid w:val="00635DBF"/>
    <w:rsid w:val="00636643"/>
    <w:rsid w:val="00636AAD"/>
    <w:rsid w:val="006374CD"/>
    <w:rsid w:val="00637F16"/>
    <w:rsid w:val="00640570"/>
    <w:rsid w:val="00640C33"/>
    <w:rsid w:val="00640CB0"/>
    <w:rsid w:val="00640CED"/>
    <w:rsid w:val="00641143"/>
    <w:rsid w:val="0064267E"/>
    <w:rsid w:val="006430FF"/>
    <w:rsid w:val="0064347A"/>
    <w:rsid w:val="00643967"/>
    <w:rsid w:val="00643C32"/>
    <w:rsid w:val="0064524A"/>
    <w:rsid w:val="0064721C"/>
    <w:rsid w:val="00647882"/>
    <w:rsid w:val="00647DA8"/>
    <w:rsid w:val="00647F9D"/>
    <w:rsid w:val="00650050"/>
    <w:rsid w:val="006502AB"/>
    <w:rsid w:val="00650F32"/>
    <w:rsid w:val="00651177"/>
    <w:rsid w:val="00651B04"/>
    <w:rsid w:val="0065343A"/>
    <w:rsid w:val="00653A2A"/>
    <w:rsid w:val="00653B74"/>
    <w:rsid w:val="00655149"/>
    <w:rsid w:val="00655C85"/>
    <w:rsid w:val="00656081"/>
    <w:rsid w:val="006569FD"/>
    <w:rsid w:val="00657280"/>
    <w:rsid w:val="00657AFE"/>
    <w:rsid w:val="006605A1"/>
    <w:rsid w:val="0066096D"/>
    <w:rsid w:val="0066100B"/>
    <w:rsid w:val="0066219C"/>
    <w:rsid w:val="006633EE"/>
    <w:rsid w:val="00663D25"/>
    <w:rsid w:val="00663EE2"/>
    <w:rsid w:val="00664ACF"/>
    <w:rsid w:val="00665C97"/>
    <w:rsid w:val="0066654B"/>
    <w:rsid w:val="00666B1D"/>
    <w:rsid w:val="006672FF"/>
    <w:rsid w:val="00667A54"/>
    <w:rsid w:val="006711E9"/>
    <w:rsid w:val="00671816"/>
    <w:rsid w:val="00671946"/>
    <w:rsid w:val="006724CA"/>
    <w:rsid w:val="006726C8"/>
    <w:rsid w:val="006727E9"/>
    <w:rsid w:val="00674551"/>
    <w:rsid w:val="006746CD"/>
    <w:rsid w:val="00674DB1"/>
    <w:rsid w:val="00675AE2"/>
    <w:rsid w:val="00675B52"/>
    <w:rsid w:val="00676C59"/>
    <w:rsid w:val="00677156"/>
    <w:rsid w:val="006775CB"/>
    <w:rsid w:val="006779A1"/>
    <w:rsid w:val="006801AC"/>
    <w:rsid w:val="006807B3"/>
    <w:rsid w:val="00680E30"/>
    <w:rsid w:val="006813A4"/>
    <w:rsid w:val="00681550"/>
    <w:rsid w:val="00681F77"/>
    <w:rsid w:val="006823B3"/>
    <w:rsid w:val="00682787"/>
    <w:rsid w:val="00682BA0"/>
    <w:rsid w:val="00682E7A"/>
    <w:rsid w:val="0068368F"/>
    <w:rsid w:val="0068390A"/>
    <w:rsid w:val="00684720"/>
    <w:rsid w:val="00684D30"/>
    <w:rsid w:val="0068528A"/>
    <w:rsid w:val="006855D3"/>
    <w:rsid w:val="00685D06"/>
    <w:rsid w:val="00686202"/>
    <w:rsid w:val="0068652D"/>
    <w:rsid w:val="00690243"/>
    <w:rsid w:val="006903B8"/>
    <w:rsid w:val="0069139A"/>
    <w:rsid w:val="006917A7"/>
    <w:rsid w:val="00691862"/>
    <w:rsid w:val="00691D43"/>
    <w:rsid w:val="0069205C"/>
    <w:rsid w:val="0069219F"/>
    <w:rsid w:val="006928E7"/>
    <w:rsid w:val="00692BDA"/>
    <w:rsid w:val="006944EB"/>
    <w:rsid w:val="00694C2D"/>
    <w:rsid w:val="006954C4"/>
    <w:rsid w:val="00696927"/>
    <w:rsid w:val="0069742D"/>
    <w:rsid w:val="006A00B7"/>
    <w:rsid w:val="006A0563"/>
    <w:rsid w:val="006A0F81"/>
    <w:rsid w:val="006A134B"/>
    <w:rsid w:val="006A1B12"/>
    <w:rsid w:val="006A229F"/>
    <w:rsid w:val="006A2505"/>
    <w:rsid w:val="006A34AC"/>
    <w:rsid w:val="006A3E57"/>
    <w:rsid w:val="006A4628"/>
    <w:rsid w:val="006A46A7"/>
    <w:rsid w:val="006A4D18"/>
    <w:rsid w:val="006A4F09"/>
    <w:rsid w:val="006A50E4"/>
    <w:rsid w:val="006A7371"/>
    <w:rsid w:val="006B0D28"/>
    <w:rsid w:val="006B1B0F"/>
    <w:rsid w:val="006B23B0"/>
    <w:rsid w:val="006B34C9"/>
    <w:rsid w:val="006B3757"/>
    <w:rsid w:val="006B399A"/>
    <w:rsid w:val="006B3BF5"/>
    <w:rsid w:val="006B4795"/>
    <w:rsid w:val="006B507D"/>
    <w:rsid w:val="006B5791"/>
    <w:rsid w:val="006B60A2"/>
    <w:rsid w:val="006B6798"/>
    <w:rsid w:val="006B77BE"/>
    <w:rsid w:val="006B7B54"/>
    <w:rsid w:val="006B7FCA"/>
    <w:rsid w:val="006C06AF"/>
    <w:rsid w:val="006C0BD3"/>
    <w:rsid w:val="006C0F76"/>
    <w:rsid w:val="006C1340"/>
    <w:rsid w:val="006C198A"/>
    <w:rsid w:val="006C23C2"/>
    <w:rsid w:val="006C33AC"/>
    <w:rsid w:val="006C4B1F"/>
    <w:rsid w:val="006C4F95"/>
    <w:rsid w:val="006C5815"/>
    <w:rsid w:val="006C5C39"/>
    <w:rsid w:val="006C6FBB"/>
    <w:rsid w:val="006C723E"/>
    <w:rsid w:val="006C7B71"/>
    <w:rsid w:val="006D01E3"/>
    <w:rsid w:val="006D038F"/>
    <w:rsid w:val="006D0625"/>
    <w:rsid w:val="006D0F15"/>
    <w:rsid w:val="006D2D6F"/>
    <w:rsid w:val="006D3820"/>
    <w:rsid w:val="006D3A6D"/>
    <w:rsid w:val="006D46C6"/>
    <w:rsid w:val="006D4F91"/>
    <w:rsid w:val="006D5076"/>
    <w:rsid w:val="006D5556"/>
    <w:rsid w:val="006D6DB3"/>
    <w:rsid w:val="006D7D1F"/>
    <w:rsid w:val="006E0419"/>
    <w:rsid w:val="006E0CF5"/>
    <w:rsid w:val="006E1007"/>
    <w:rsid w:val="006E15B5"/>
    <w:rsid w:val="006E18EB"/>
    <w:rsid w:val="006E1A69"/>
    <w:rsid w:val="006E1C31"/>
    <w:rsid w:val="006E20B6"/>
    <w:rsid w:val="006E2293"/>
    <w:rsid w:val="006E31A3"/>
    <w:rsid w:val="006E45CC"/>
    <w:rsid w:val="006E47BB"/>
    <w:rsid w:val="006E52E1"/>
    <w:rsid w:val="006E5C6C"/>
    <w:rsid w:val="006E5D11"/>
    <w:rsid w:val="006E62F6"/>
    <w:rsid w:val="006E63DE"/>
    <w:rsid w:val="006E6A42"/>
    <w:rsid w:val="006E70D1"/>
    <w:rsid w:val="006F04D9"/>
    <w:rsid w:val="006F07FA"/>
    <w:rsid w:val="006F09D0"/>
    <w:rsid w:val="006F0FBF"/>
    <w:rsid w:val="006F137B"/>
    <w:rsid w:val="006F1B2E"/>
    <w:rsid w:val="006F1DC1"/>
    <w:rsid w:val="006F2292"/>
    <w:rsid w:val="006F2D14"/>
    <w:rsid w:val="006F31D7"/>
    <w:rsid w:val="006F3670"/>
    <w:rsid w:val="006F3932"/>
    <w:rsid w:val="006F3B2C"/>
    <w:rsid w:val="006F48D3"/>
    <w:rsid w:val="006F4901"/>
    <w:rsid w:val="006F617A"/>
    <w:rsid w:val="006F6D52"/>
    <w:rsid w:val="007001BB"/>
    <w:rsid w:val="0070184C"/>
    <w:rsid w:val="00701D77"/>
    <w:rsid w:val="007028E7"/>
    <w:rsid w:val="00703044"/>
    <w:rsid w:val="007039B7"/>
    <w:rsid w:val="00703CAD"/>
    <w:rsid w:val="0070401B"/>
    <w:rsid w:val="00704082"/>
    <w:rsid w:val="00705371"/>
    <w:rsid w:val="007077DC"/>
    <w:rsid w:val="00707DAE"/>
    <w:rsid w:val="007109E8"/>
    <w:rsid w:val="00710BE7"/>
    <w:rsid w:val="00710C2B"/>
    <w:rsid w:val="007123A2"/>
    <w:rsid w:val="00713384"/>
    <w:rsid w:val="00713D73"/>
    <w:rsid w:val="007141E1"/>
    <w:rsid w:val="00714F31"/>
    <w:rsid w:val="0071593B"/>
    <w:rsid w:val="00716B8E"/>
    <w:rsid w:val="0071766B"/>
    <w:rsid w:val="00720075"/>
    <w:rsid w:val="007215B7"/>
    <w:rsid w:val="007219F6"/>
    <w:rsid w:val="00722046"/>
    <w:rsid w:val="00722CFC"/>
    <w:rsid w:val="00723BA0"/>
    <w:rsid w:val="00723D1F"/>
    <w:rsid w:val="0072440A"/>
    <w:rsid w:val="00724504"/>
    <w:rsid w:val="007247EB"/>
    <w:rsid w:val="007257D4"/>
    <w:rsid w:val="00726485"/>
    <w:rsid w:val="00726921"/>
    <w:rsid w:val="00726F2B"/>
    <w:rsid w:val="00727F02"/>
    <w:rsid w:val="00730222"/>
    <w:rsid w:val="007307D8"/>
    <w:rsid w:val="00730B90"/>
    <w:rsid w:val="0073125E"/>
    <w:rsid w:val="007324AF"/>
    <w:rsid w:val="00732F1A"/>
    <w:rsid w:val="00733151"/>
    <w:rsid w:val="00733AC8"/>
    <w:rsid w:val="00734A87"/>
    <w:rsid w:val="00734CF6"/>
    <w:rsid w:val="00735189"/>
    <w:rsid w:val="007360FB"/>
    <w:rsid w:val="007369A0"/>
    <w:rsid w:val="00736AFC"/>
    <w:rsid w:val="00736C69"/>
    <w:rsid w:val="00740E6A"/>
    <w:rsid w:val="00740FB2"/>
    <w:rsid w:val="007413D9"/>
    <w:rsid w:val="0074150C"/>
    <w:rsid w:val="007419AB"/>
    <w:rsid w:val="00742024"/>
    <w:rsid w:val="0074226F"/>
    <w:rsid w:val="007434B4"/>
    <w:rsid w:val="00744360"/>
    <w:rsid w:val="007455AC"/>
    <w:rsid w:val="00745685"/>
    <w:rsid w:val="0074593E"/>
    <w:rsid w:val="007460BC"/>
    <w:rsid w:val="00746586"/>
    <w:rsid w:val="00747190"/>
    <w:rsid w:val="00747779"/>
    <w:rsid w:val="00747DDA"/>
    <w:rsid w:val="00747F03"/>
    <w:rsid w:val="00750446"/>
    <w:rsid w:val="00750652"/>
    <w:rsid w:val="00751132"/>
    <w:rsid w:val="00751F7C"/>
    <w:rsid w:val="00753C2E"/>
    <w:rsid w:val="00753EEE"/>
    <w:rsid w:val="00753FAF"/>
    <w:rsid w:val="007556C8"/>
    <w:rsid w:val="00755F77"/>
    <w:rsid w:val="00756013"/>
    <w:rsid w:val="00756584"/>
    <w:rsid w:val="007567BC"/>
    <w:rsid w:val="007567E8"/>
    <w:rsid w:val="007568EE"/>
    <w:rsid w:val="007601F3"/>
    <w:rsid w:val="007606C3"/>
    <w:rsid w:val="00760E64"/>
    <w:rsid w:val="007611A9"/>
    <w:rsid w:val="007614FE"/>
    <w:rsid w:val="0076181F"/>
    <w:rsid w:val="00761C5D"/>
    <w:rsid w:val="00761F02"/>
    <w:rsid w:val="00762C4D"/>
    <w:rsid w:val="0076488F"/>
    <w:rsid w:val="00764DE8"/>
    <w:rsid w:val="00765AED"/>
    <w:rsid w:val="0076675E"/>
    <w:rsid w:val="0076684A"/>
    <w:rsid w:val="00767220"/>
    <w:rsid w:val="007712CC"/>
    <w:rsid w:val="00771449"/>
    <w:rsid w:val="00771DE6"/>
    <w:rsid w:val="007723AB"/>
    <w:rsid w:val="0077273F"/>
    <w:rsid w:val="0077276B"/>
    <w:rsid w:val="00772D84"/>
    <w:rsid w:val="00773EA7"/>
    <w:rsid w:val="007741AD"/>
    <w:rsid w:val="00774632"/>
    <w:rsid w:val="00774BF7"/>
    <w:rsid w:val="00775065"/>
    <w:rsid w:val="0077620D"/>
    <w:rsid w:val="00777B6C"/>
    <w:rsid w:val="00780CB0"/>
    <w:rsid w:val="00780DDA"/>
    <w:rsid w:val="00780E7A"/>
    <w:rsid w:val="00782011"/>
    <w:rsid w:val="007832B7"/>
    <w:rsid w:val="00783BC4"/>
    <w:rsid w:val="007845B9"/>
    <w:rsid w:val="007847B2"/>
    <w:rsid w:val="00784FBC"/>
    <w:rsid w:val="00785952"/>
    <w:rsid w:val="00786755"/>
    <w:rsid w:val="00786F09"/>
    <w:rsid w:val="00787111"/>
    <w:rsid w:val="00787136"/>
    <w:rsid w:val="00787454"/>
    <w:rsid w:val="0078751B"/>
    <w:rsid w:val="00787713"/>
    <w:rsid w:val="00787B90"/>
    <w:rsid w:val="0079122A"/>
    <w:rsid w:val="007928E2"/>
    <w:rsid w:val="00792E3F"/>
    <w:rsid w:val="007936B7"/>
    <w:rsid w:val="007938A2"/>
    <w:rsid w:val="00793C99"/>
    <w:rsid w:val="007946C7"/>
    <w:rsid w:val="0079483F"/>
    <w:rsid w:val="007948EB"/>
    <w:rsid w:val="0079531F"/>
    <w:rsid w:val="00795D1A"/>
    <w:rsid w:val="00796100"/>
    <w:rsid w:val="007972B8"/>
    <w:rsid w:val="00797518"/>
    <w:rsid w:val="007975C6"/>
    <w:rsid w:val="007A0E5E"/>
    <w:rsid w:val="007A2789"/>
    <w:rsid w:val="007A33DB"/>
    <w:rsid w:val="007A3ABD"/>
    <w:rsid w:val="007A437C"/>
    <w:rsid w:val="007A4B56"/>
    <w:rsid w:val="007A54CF"/>
    <w:rsid w:val="007A5DDD"/>
    <w:rsid w:val="007A69F1"/>
    <w:rsid w:val="007A6B90"/>
    <w:rsid w:val="007A75B2"/>
    <w:rsid w:val="007B00EC"/>
    <w:rsid w:val="007B0338"/>
    <w:rsid w:val="007B0520"/>
    <w:rsid w:val="007B2232"/>
    <w:rsid w:val="007B4A00"/>
    <w:rsid w:val="007B5083"/>
    <w:rsid w:val="007B644C"/>
    <w:rsid w:val="007B65F8"/>
    <w:rsid w:val="007B6F41"/>
    <w:rsid w:val="007B7E07"/>
    <w:rsid w:val="007C0C56"/>
    <w:rsid w:val="007C1D36"/>
    <w:rsid w:val="007C2C9D"/>
    <w:rsid w:val="007C302F"/>
    <w:rsid w:val="007C3340"/>
    <w:rsid w:val="007C3562"/>
    <w:rsid w:val="007C5C1F"/>
    <w:rsid w:val="007C5F6A"/>
    <w:rsid w:val="007C6ED7"/>
    <w:rsid w:val="007C76F3"/>
    <w:rsid w:val="007D0885"/>
    <w:rsid w:val="007D1332"/>
    <w:rsid w:val="007D1565"/>
    <w:rsid w:val="007D1FC0"/>
    <w:rsid w:val="007D23C8"/>
    <w:rsid w:val="007D299D"/>
    <w:rsid w:val="007D348B"/>
    <w:rsid w:val="007D3A8A"/>
    <w:rsid w:val="007D405F"/>
    <w:rsid w:val="007D460B"/>
    <w:rsid w:val="007D4EAE"/>
    <w:rsid w:val="007D50E3"/>
    <w:rsid w:val="007D57AF"/>
    <w:rsid w:val="007D5AB4"/>
    <w:rsid w:val="007D5C23"/>
    <w:rsid w:val="007D6BB2"/>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BC4"/>
    <w:rsid w:val="007E6291"/>
    <w:rsid w:val="007E6421"/>
    <w:rsid w:val="007E6699"/>
    <w:rsid w:val="007E6E0B"/>
    <w:rsid w:val="007E7E35"/>
    <w:rsid w:val="007F16DB"/>
    <w:rsid w:val="007F39BD"/>
    <w:rsid w:val="007F4996"/>
    <w:rsid w:val="007F589A"/>
    <w:rsid w:val="007F5A41"/>
    <w:rsid w:val="007F5C7E"/>
    <w:rsid w:val="007F5C8A"/>
    <w:rsid w:val="007F5CEB"/>
    <w:rsid w:val="007F65C3"/>
    <w:rsid w:val="007F6ECA"/>
    <w:rsid w:val="008006DF"/>
    <w:rsid w:val="0080093F"/>
    <w:rsid w:val="00800C27"/>
    <w:rsid w:val="008019F8"/>
    <w:rsid w:val="00801B0B"/>
    <w:rsid w:val="00801B24"/>
    <w:rsid w:val="008022FA"/>
    <w:rsid w:val="008024F8"/>
    <w:rsid w:val="00802842"/>
    <w:rsid w:val="008029A3"/>
    <w:rsid w:val="00802D88"/>
    <w:rsid w:val="00803B6A"/>
    <w:rsid w:val="008041E9"/>
    <w:rsid w:val="0080530F"/>
    <w:rsid w:val="00805524"/>
    <w:rsid w:val="00805B8A"/>
    <w:rsid w:val="00805E68"/>
    <w:rsid w:val="00806DBE"/>
    <w:rsid w:val="00807280"/>
    <w:rsid w:val="00807527"/>
    <w:rsid w:val="008075D4"/>
    <w:rsid w:val="008100B3"/>
    <w:rsid w:val="00811559"/>
    <w:rsid w:val="0081353F"/>
    <w:rsid w:val="008137E0"/>
    <w:rsid w:val="00814617"/>
    <w:rsid w:val="0081483F"/>
    <w:rsid w:val="00814F1A"/>
    <w:rsid w:val="00815685"/>
    <w:rsid w:val="00815BD7"/>
    <w:rsid w:val="0081660F"/>
    <w:rsid w:val="008168BB"/>
    <w:rsid w:val="00816A0A"/>
    <w:rsid w:val="008171F2"/>
    <w:rsid w:val="008205E0"/>
    <w:rsid w:val="00820C24"/>
    <w:rsid w:val="00821980"/>
    <w:rsid w:val="00821AE7"/>
    <w:rsid w:val="0082253F"/>
    <w:rsid w:val="00823B5F"/>
    <w:rsid w:val="00824B7E"/>
    <w:rsid w:val="008250F9"/>
    <w:rsid w:val="00826848"/>
    <w:rsid w:val="00826A07"/>
    <w:rsid w:val="00826AF8"/>
    <w:rsid w:val="00826FDC"/>
    <w:rsid w:val="00831C14"/>
    <w:rsid w:val="008327F1"/>
    <w:rsid w:val="00832F0A"/>
    <w:rsid w:val="0083358D"/>
    <w:rsid w:val="00833685"/>
    <w:rsid w:val="00833C35"/>
    <w:rsid w:val="008348A7"/>
    <w:rsid w:val="00834DF7"/>
    <w:rsid w:val="008368A0"/>
    <w:rsid w:val="0083763F"/>
    <w:rsid w:val="00837FD6"/>
    <w:rsid w:val="008406D9"/>
    <w:rsid w:val="00840AB2"/>
    <w:rsid w:val="008417A5"/>
    <w:rsid w:val="00842D56"/>
    <w:rsid w:val="00842D8E"/>
    <w:rsid w:val="00844573"/>
    <w:rsid w:val="00844C56"/>
    <w:rsid w:val="00845C17"/>
    <w:rsid w:val="00845F6A"/>
    <w:rsid w:val="00846C19"/>
    <w:rsid w:val="00846C2C"/>
    <w:rsid w:val="00847FEC"/>
    <w:rsid w:val="0085129C"/>
    <w:rsid w:val="0085198F"/>
    <w:rsid w:val="00851EDD"/>
    <w:rsid w:val="0085216A"/>
    <w:rsid w:val="00852675"/>
    <w:rsid w:val="00852853"/>
    <w:rsid w:val="00853251"/>
    <w:rsid w:val="00854301"/>
    <w:rsid w:val="008554A9"/>
    <w:rsid w:val="008558C2"/>
    <w:rsid w:val="008570AA"/>
    <w:rsid w:val="008574C4"/>
    <w:rsid w:val="00857E99"/>
    <w:rsid w:val="00860E07"/>
    <w:rsid w:val="00861199"/>
    <w:rsid w:val="008613AD"/>
    <w:rsid w:val="0086223C"/>
    <w:rsid w:val="00862AC9"/>
    <w:rsid w:val="00862E2B"/>
    <w:rsid w:val="008635E8"/>
    <w:rsid w:val="00863896"/>
    <w:rsid w:val="0086535C"/>
    <w:rsid w:val="00865FC0"/>
    <w:rsid w:val="00865FEB"/>
    <w:rsid w:val="0086635F"/>
    <w:rsid w:val="0086659F"/>
    <w:rsid w:val="008667E0"/>
    <w:rsid w:val="00866B3B"/>
    <w:rsid w:val="00867290"/>
    <w:rsid w:val="0086798E"/>
    <w:rsid w:val="008706F9"/>
    <w:rsid w:val="00871BBB"/>
    <w:rsid w:val="00873CDE"/>
    <w:rsid w:val="00874C18"/>
    <w:rsid w:val="00875458"/>
    <w:rsid w:val="00875702"/>
    <w:rsid w:val="00876869"/>
    <w:rsid w:val="00876925"/>
    <w:rsid w:val="00877438"/>
    <w:rsid w:val="00877941"/>
    <w:rsid w:val="0088016F"/>
    <w:rsid w:val="00880359"/>
    <w:rsid w:val="0088062D"/>
    <w:rsid w:val="00880C22"/>
    <w:rsid w:val="00881408"/>
    <w:rsid w:val="00881C1D"/>
    <w:rsid w:val="0088206F"/>
    <w:rsid w:val="008821CE"/>
    <w:rsid w:val="0088227F"/>
    <w:rsid w:val="00882419"/>
    <w:rsid w:val="008828A3"/>
    <w:rsid w:val="00882F88"/>
    <w:rsid w:val="008836B3"/>
    <w:rsid w:val="00883835"/>
    <w:rsid w:val="00884527"/>
    <w:rsid w:val="00885429"/>
    <w:rsid w:val="008856FE"/>
    <w:rsid w:val="00886054"/>
    <w:rsid w:val="0088629F"/>
    <w:rsid w:val="008862FF"/>
    <w:rsid w:val="00886FAE"/>
    <w:rsid w:val="00887570"/>
    <w:rsid w:val="0088767A"/>
    <w:rsid w:val="0089111A"/>
    <w:rsid w:val="00891550"/>
    <w:rsid w:val="00892D2C"/>
    <w:rsid w:val="00893531"/>
    <w:rsid w:val="00893542"/>
    <w:rsid w:val="008952DA"/>
    <w:rsid w:val="00895D20"/>
    <w:rsid w:val="008961A9"/>
    <w:rsid w:val="00897720"/>
    <w:rsid w:val="008978AE"/>
    <w:rsid w:val="00897E1F"/>
    <w:rsid w:val="008A0865"/>
    <w:rsid w:val="008A1CC1"/>
    <w:rsid w:val="008A1D30"/>
    <w:rsid w:val="008A1E03"/>
    <w:rsid w:val="008A3DA6"/>
    <w:rsid w:val="008A400C"/>
    <w:rsid w:val="008A4564"/>
    <w:rsid w:val="008A48F2"/>
    <w:rsid w:val="008A62B9"/>
    <w:rsid w:val="008A64F6"/>
    <w:rsid w:val="008A664A"/>
    <w:rsid w:val="008A6C2A"/>
    <w:rsid w:val="008A7562"/>
    <w:rsid w:val="008A75A2"/>
    <w:rsid w:val="008B064A"/>
    <w:rsid w:val="008B09BE"/>
    <w:rsid w:val="008B0CF2"/>
    <w:rsid w:val="008B2D57"/>
    <w:rsid w:val="008B2EEC"/>
    <w:rsid w:val="008B2F0F"/>
    <w:rsid w:val="008B35FF"/>
    <w:rsid w:val="008B3914"/>
    <w:rsid w:val="008B3A53"/>
    <w:rsid w:val="008B3B34"/>
    <w:rsid w:val="008B4ECD"/>
    <w:rsid w:val="008B6800"/>
    <w:rsid w:val="008B685F"/>
    <w:rsid w:val="008B6EF6"/>
    <w:rsid w:val="008B7173"/>
    <w:rsid w:val="008B7BB3"/>
    <w:rsid w:val="008B7C50"/>
    <w:rsid w:val="008B7C74"/>
    <w:rsid w:val="008B7E9E"/>
    <w:rsid w:val="008C008E"/>
    <w:rsid w:val="008C23FB"/>
    <w:rsid w:val="008C2834"/>
    <w:rsid w:val="008C29DE"/>
    <w:rsid w:val="008C2B4A"/>
    <w:rsid w:val="008C2DE1"/>
    <w:rsid w:val="008C3A07"/>
    <w:rsid w:val="008C41AF"/>
    <w:rsid w:val="008C47C2"/>
    <w:rsid w:val="008C4A54"/>
    <w:rsid w:val="008C59E1"/>
    <w:rsid w:val="008C59EE"/>
    <w:rsid w:val="008C6047"/>
    <w:rsid w:val="008C7455"/>
    <w:rsid w:val="008C7964"/>
    <w:rsid w:val="008C7F04"/>
    <w:rsid w:val="008D0C02"/>
    <w:rsid w:val="008D201F"/>
    <w:rsid w:val="008D3FC4"/>
    <w:rsid w:val="008D499A"/>
    <w:rsid w:val="008D4A08"/>
    <w:rsid w:val="008D5615"/>
    <w:rsid w:val="008D5A64"/>
    <w:rsid w:val="008D63C6"/>
    <w:rsid w:val="008D6AC1"/>
    <w:rsid w:val="008D71D2"/>
    <w:rsid w:val="008D71E1"/>
    <w:rsid w:val="008D7979"/>
    <w:rsid w:val="008D7DFD"/>
    <w:rsid w:val="008E1B2E"/>
    <w:rsid w:val="008E2E02"/>
    <w:rsid w:val="008E3392"/>
    <w:rsid w:val="008E3A93"/>
    <w:rsid w:val="008E3C1A"/>
    <w:rsid w:val="008E40EB"/>
    <w:rsid w:val="008E4ED5"/>
    <w:rsid w:val="008E5D1B"/>
    <w:rsid w:val="008E6566"/>
    <w:rsid w:val="008E6DFB"/>
    <w:rsid w:val="008E76A7"/>
    <w:rsid w:val="008F0E77"/>
    <w:rsid w:val="008F12EE"/>
    <w:rsid w:val="008F13DD"/>
    <w:rsid w:val="008F1C57"/>
    <w:rsid w:val="008F21AA"/>
    <w:rsid w:val="008F2965"/>
    <w:rsid w:val="008F491E"/>
    <w:rsid w:val="008F5493"/>
    <w:rsid w:val="008F587E"/>
    <w:rsid w:val="008F63FC"/>
    <w:rsid w:val="008F6500"/>
    <w:rsid w:val="008F72AA"/>
    <w:rsid w:val="008F73EE"/>
    <w:rsid w:val="00901406"/>
    <w:rsid w:val="00901880"/>
    <w:rsid w:val="00901F5B"/>
    <w:rsid w:val="0090312E"/>
    <w:rsid w:val="009031E5"/>
    <w:rsid w:val="00903231"/>
    <w:rsid w:val="0090323D"/>
    <w:rsid w:val="00903285"/>
    <w:rsid w:val="0090365C"/>
    <w:rsid w:val="009040DE"/>
    <w:rsid w:val="00904101"/>
    <w:rsid w:val="0090434C"/>
    <w:rsid w:val="00904FDD"/>
    <w:rsid w:val="009051CE"/>
    <w:rsid w:val="009055CB"/>
    <w:rsid w:val="00905D1C"/>
    <w:rsid w:val="009069C0"/>
    <w:rsid w:val="009073B7"/>
    <w:rsid w:val="0090766C"/>
    <w:rsid w:val="009104BE"/>
    <w:rsid w:val="00910FB9"/>
    <w:rsid w:val="0091102F"/>
    <w:rsid w:val="009130C4"/>
    <w:rsid w:val="009138A1"/>
    <w:rsid w:val="00913D07"/>
    <w:rsid w:val="00914055"/>
    <w:rsid w:val="00915C2A"/>
    <w:rsid w:val="00915DAA"/>
    <w:rsid w:val="009164B8"/>
    <w:rsid w:val="00916580"/>
    <w:rsid w:val="0091715D"/>
    <w:rsid w:val="009176B9"/>
    <w:rsid w:val="009179EE"/>
    <w:rsid w:val="00917B30"/>
    <w:rsid w:val="00920279"/>
    <w:rsid w:val="00921556"/>
    <w:rsid w:val="0092181D"/>
    <w:rsid w:val="00921C52"/>
    <w:rsid w:val="009220E1"/>
    <w:rsid w:val="009226FF"/>
    <w:rsid w:val="00922BF1"/>
    <w:rsid w:val="00922DDF"/>
    <w:rsid w:val="00923C54"/>
    <w:rsid w:val="0092412A"/>
    <w:rsid w:val="0092516A"/>
    <w:rsid w:val="009258D3"/>
    <w:rsid w:val="00926E98"/>
    <w:rsid w:val="009300D5"/>
    <w:rsid w:val="0093049E"/>
    <w:rsid w:val="00932D24"/>
    <w:rsid w:val="00934305"/>
    <w:rsid w:val="0093449D"/>
    <w:rsid w:val="00934684"/>
    <w:rsid w:val="009348F7"/>
    <w:rsid w:val="00935DBD"/>
    <w:rsid w:val="00935F85"/>
    <w:rsid w:val="0093744F"/>
    <w:rsid w:val="00940A57"/>
    <w:rsid w:val="00941384"/>
    <w:rsid w:val="00942193"/>
    <w:rsid w:val="009437C4"/>
    <w:rsid w:val="009438E2"/>
    <w:rsid w:val="009439BA"/>
    <w:rsid w:val="00943F2F"/>
    <w:rsid w:val="00943F63"/>
    <w:rsid w:val="009440E8"/>
    <w:rsid w:val="0094476B"/>
    <w:rsid w:val="00944F45"/>
    <w:rsid w:val="00945FCD"/>
    <w:rsid w:val="00946567"/>
    <w:rsid w:val="009471C8"/>
    <w:rsid w:val="00950240"/>
    <w:rsid w:val="00950768"/>
    <w:rsid w:val="00951665"/>
    <w:rsid w:val="00951E05"/>
    <w:rsid w:val="009523BC"/>
    <w:rsid w:val="0095283A"/>
    <w:rsid w:val="00952FDC"/>
    <w:rsid w:val="009530CA"/>
    <w:rsid w:val="00953295"/>
    <w:rsid w:val="009533D4"/>
    <w:rsid w:val="009536C0"/>
    <w:rsid w:val="00954EDD"/>
    <w:rsid w:val="00954FFF"/>
    <w:rsid w:val="009550D6"/>
    <w:rsid w:val="00955A0A"/>
    <w:rsid w:val="00956792"/>
    <w:rsid w:val="009575AE"/>
    <w:rsid w:val="0096037C"/>
    <w:rsid w:val="009605C3"/>
    <w:rsid w:val="00960AEF"/>
    <w:rsid w:val="00962215"/>
    <w:rsid w:val="00962825"/>
    <w:rsid w:val="00963AE9"/>
    <w:rsid w:val="00964404"/>
    <w:rsid w:val="0096580E"/>
    <w:rsid w:val="009663CE"/>
    <w:rsid w:val="00966666"/>
    <w:rsid w:val="00966A87"/>
    <w:rsid w:val="00967291"/>
    <w:rsid w:val="00967B29"/>
    <w:rsid w:val="00967EB5"/>
    <w:rsid w:val="0097053B"/>
    <w:rsid w:val="009716E8"/>
    <w:rsid w:val="00971A8A"/>
    <w:rsid w:val="00971CF7"/>
    <w:rsid w:val="00974D37"/>
    <w:rsid w:val="00974E44"/>
    <w:rsid w:val="009764A4"/>
    <w:rsid w:val="009771AA"/>
    <w:rsid w:val="00977D55"/>
    <w:rsid w:val="00980724"/>
    <w:rsid w:val="009808B0"/>
    <w:rsid w:val="0098151F"/>
    <w:rsid w:val="009822D7"/>
    <w:rsid w:val="009822F0"/>
    <w:rsid w:val="009836B2"/>
    <w:rsid w:val="00983A67"/>
    <w:rsid w:val="00983E55"/>
    <w:rsid w:val="009845F0"/>
    <w:rsid w:val="00986095"/>
    <w:rsid w:val="009864CF"/>
    <w:rsid w:val="009868D4"/>
    <w:rsid w:val="0098725C"/>
    <w:rsid w:val="0098751E"/>
    <w:rsid w:val="0099031D"/>
    <w:rsid w:val="00990778"/>
    <w:rsid w:val="00991EB4"/>
    <w:rsid w:val="00991FA8"/>
    <w:rsid w:val="00992636"/>
    <w:rsid w:val="009928A8"/>
    <w:rsid w:val="00992BAF"/>
    <w:rsid w:val="00992F43"/>
    <w:rsid w:val="00993871"/>
    <w:rsid w:val="0099387A"/>
    <w:rsid w:val="009945A3"/>
    <w:rsid w:val="00994C2B"/>
    <w:rsid w:val="00994C7B"/>
    <w:rsid w:val="00994DAF"/>
    <w:rsid w:val="00996896"/>
    <w:rsid w:val="00996B4D"/>
    <w:rsid w:val="00996D0D"/>
    <w:rsid w:val="009A0AA3"/>
    <w:rsid w:val="009A0EAF"/>
    <w:rsid w:val="009A1129"/>
    <w:rsid w:val="009A24F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11"/>
    <w:rsid w:val="009B4D71"/>
    <w:rsid w:val="009B56E8"/>
    <w:rsid w:val="009B5BE2"/>
    <w:rsid w:val="009C0209"/>
    <w:rsid w:val="009C0FE9"/>
    <w:rsid w:val="009C120F"/>
    <w:rsid w:val="009C29F4"/>
    <w:rsid w:val="009C2F1E"/>
    <w:rsid w:val="009C368B"/>
    <w:rsid w:val="009C39BD"/>
    <w:rsid w:val="009C4BFC"/>
    <w:rsid w:val="009C4D29"/>
    <w:rsid w:val="009C5D71"/>
    <w:rsid w:val="009C7D08"/>
    <w:rsid w:val="009C7F22"/>
    <w:rsid w:val="009C7F3A"/>
    <w:rsid w:val="009D09B9"/>
    <w:rsid w:val="009D09C4"/>
    <w:rsid w:val="009D7095"/>
    <w:rsid w:val="009D7C9C"/>
    <w:rsid w:val="009E0430"/>
    <w:rsid w:val="009E04AF"/>
    <w:rsid w:val="009E0E89"/>
    <w:rsid w:val="009E20F1"/>
    <w:rsid w:val="009E4A6F"/>
    <w:rsid w:val="009E5BB5"/>
    <w:rsid w:val="009E6986"/>
    <w:rsid w:val="009E69CC"/>
    <w:rsid w:val="009E6AD0"/>
    <w:rsid w:val="009F0287"/>
    <w:rsid w:val="009F091E"/>
    <w:rsid w:val="009F09DD"/>
    <w:rsid w:val="009F0F57"/>
    <w:rsid w:val="009F1A29"/>
    <w:rsid w:val="009F3C62"/>
    <w:rsid w:val="009F4ECC"/>
    <w:rsid w:val="009F51BF"/>
    <w:rsid w:val="009F5F8B"/>
    <w:rsid w:val="009F6612"/>
    <w:rsid w:val="009F6AB6"/>
    <w:rsid w:val="009F7FB0"/>
    <w:rsid w:val="00A00FE5"/>
    <w:rsid w:val="00A02376"/>
    <w:rsid w:val="00A025C8"/>
    <w:rsid w:val="00A028F2"/>
    <w:rsid w:val="00A035B6"/>
    <w:rsid w:val="00A03AC3"/>
    <w:rsid w:val="00A0440E"/>
    <w:rsid w:val="00A0507D"/>
    <w:rsid w:val="00A055A2"/>
    <w:rsid w:val="00A05BDC"/>
    <w:rsid w:val="00A065D5"/>
    <w:rsid w:val="00A068BD"/>
    <w:rsid w:val="00A075B7"/>
    <w:rsid w:val="00A079C5"/>
    <w:rsid w:val="00A104F0"/>
    <w:rsid w:val="00A10993"/>
    <w:rsid w:val="00A10DF5"/>
    <w:rsid w:val="00A118FA"/>
    <w:rsid w:val="00A11C65"/>
    <w:rsid w:val="00A1238E"/>
    <w:rsid w:val="00A147BA"/>
    <w:rsid w:val="00A14F25"/>
    <w:rsid w:val="00A150CD"/>
    <w:rsid w:val="00A15463"/>
    <w:rsid w:val="00A15ADB"/>
    <w:rsid w:val="00A15F38"/>
    <w:rsid w:val="00A17698"/>
    <w:rsid w:val="00A20365"/>
    <w:rsid w:val="00A2099A"/>
    <w:rsid w:val="00A20DB6"/>
    <w:rsid w:val="00A21A8D"/>
    <w:rsid w:val="00A21F26"/>
    <w:rsid w:val="00A225B5"/>
    <w:rsid w:val="00A23123"/>
    <w:rsid w:val="00A2364B"/>
    <w:rsid w:val="00A25179"/>
    <w:rsid w:val="00A251BE"/>
    <w:rsid w:val="00A26481"/>
    <w:rsid w:val="00A27620"/>
    <w:rsid w:val="00A278A0"/>
    <w:rsid w:val="00A3048F"/>
    <w:rsid w:val="00A308A5"/>
    <w:rsid w:val="00A30A94"/>
    <w:rsid w:val="00A30C20"/>
    <w:rsid w:val="00A31C0C"/>
    <w:rsid w:val="00A322D3"/>
    <w:rsid w:val="00A32970"/>
    <w:rsid w:val="00A33BF9"/>
    <w:rsid w:val="00A340D8"/>
    <w:rsid w:val="00A34579"/>
    <w:rsid w:val="00A35822"/>
    <w:rsid w:val="00A35EAB"/>
    <w:rsid w:val="00A364E0"/>
    <w:rsid w:val="00A3740A"/>
    <w:rsid w:val="00A37971"/>
    <w:rsid w:val="00A4003A"/>
    <w:rsid w:val="00A403FD"/>
    <w:rsid w:val="00A40786"/>
    <w:rsid w:val="00A40D22"/>
    <w:rsid w:val="00A410EA"/>
    <w:rsid w:val="00A4267E"/>
    <w:rsid w:val="00A42F8F"/>
    <w:rsid w:val="00A437F6"/>
    <w:rsid w:val="00A43B14"/>
    <w:rsid w:val="00A43F6D"/>
    <w:rsid w:val="00A4402D"/>
    <w:rsid w:val="00A44425"/>
    <w:rsid w:val="00A44AA1"/>
    <w:rsid w:val="00A45D07"/>
    <w:rsid w:val="00A46C3E"/>
    <w:rsid w:val="00A46E26"/>
    <w:rsid w:val="00A4789F"/>
    <w:rsid w:val="00A47B85"/>
    <w:rsid w:val="00A5016B"/>
    <w:rsid w:val="00A513BE"/>
    <w:rsid w:val="00A51B00"/>
    <w:rsid w:val="00A52C1A"/>
    <w:rsid w:val="00A530E0"/>
    <w:rsid w:val="00A53A4C"/>
    <w:rsid w:val="00A53AA9"/>
    <w:rsid w:val="00A543D4"/>
    <w:rsid w:val="00A54A4F"/>
    <w:rsid w:val="00A54ADC"/>
    <w:rsid w:val="00A56B18"/>
    <w:rsid w:val="00A5723F"/>
    <w:rsid w:val="00A572BD"/>
    <w:rsid w:val="00A5791B"/>
    <w:rsid w:val="00A57B0B"/>
    <w:rsid w:val="00A60510"/>
    <w:rsid w:val="00A611BB"/>
    <w:rsid w:val="00A6214E"/>
    <w:rsid w:val="00A64028"/>
    <w:rsid w:val="00A64425"/>
    <w:rsid w:val="00A6450D"/>
    <w:rsid w:val="00A668FB"/>
    <w:rsid w:val="00A6702B"/>
    <w:rsid w:val="00A67A43"/>
    <w:rsid w:val="00A67CAA"/>
    <w:rsid w:val="00A70DA5"/>
    <w:rsid w:val="00A71189"/>
    <w:rsid w:val="00A71810"/>
    <w:rsid w:val="00A71D10"/>
    <w:rsid w:val="00A71D21"/>
    <w:rsid w:val="00A7220C"/>
    <w:rsid w:val="00A7267F"/>
    <w:rsid w:val="00A73A8A"/>
    <w:rsid w:val="00A74F07"/>
    <w:rsid w:val="00A75972"/>
    <w:rsid w:val="00A75BDE"/>
    <w:rsid w:val="00A76084"/>
    <w:rsid w:val="00A772C3"/>
    <w:rsid w:val="00A77C3C"/>
    <w:rsid w:val="00A80454"/>
    <w:rsid w:val="00A806A9"/>
    <w:rsid w:val="00A807C8"/>
    <w:rsid w:val="00A807DB"/>
    <w:rsid w:val="00A80A87"/>
    <w:rsid w:val="00A812A3"/>
    <w:rsid w:val="00A81C21"/>
    <w:rsid w:val="00A83F45"/>
    <w:rsid w:val="00A8400E"/>
    <w:rsid w:val="00A867DB"/>
    <w:rsid w:val="00A869D6"/>
    <w:rsid w:val="00A86ECE"/>
    <w:rsid w:val="00A875BE"/>
    <w:rsid w:val="00A877F9"/>
    <w:rsid w:val="00A90B18"/>
    <w:rsid w:val="00A914D2"/>
    <w:rsid w:val="00A921D4"/>
    <w:rsid w:val="00A92883"/>
    <w:rsid w:val="00A92E92"/>
    <w:rsid w:val="00A93090"/>
    <w:rsid w:val="00A933B4"/>
    <w:rsid w:val="00A93EBF"/>
    <w:rsid w:val="00A9404C"/>
    <w:rsid w:val="00A95AC6"/>
    <w:rsid w:val="00A95E01"/>
    <w:rsid w:val="00A96972"/>
    <w:rsid w:val="00A9710F"/>
    <w:rsid w:val="00A979CB"/>
    <w:rsid w:val="00AA4277"/>
    <w:rsid w:val="00AA4545"/>
    <w:rsid w:val="00AA507B"/>
    <w:rsid w:val="00AA6414"/>
    <w:rsid w:val="00AA67D3"/>
    <w:rsid w:val="00AA6C53"/>
    <w:rsid w:val="00AB03B3"/>
    <w:rsid w:val="00AB05A0"/>
    <w:rsid w:val="00AB0DD6"/>
    <w:rsid w:val="00AB126F"/>
    <w:rsid w:val="00AB1312"/>
    <w:rsid w:val="00AB179F"/>
    <w:rsid w:val="00AB210D"/>
    <w:rsid w:val="00AB4CFA"/>
    <w:rsid w:val="00AB51E4"/>
    <w:rsid w:val="00AB5225"/>
    <w:rsid w:val="00AB621A"/>
    <w:rsid w:val="00AB65F6"/>
    <w:rsid w:val="00AB704D"/>
    <w:rsid w:val="00AB70A5"/>
    <w:rsid w:val="00AB7655"/>
    <w:rsid w:val="00AB77B3"/>
    <w:rsid w:val="00AB7A04"/>
    <w:rsid w:val="00AC0E47"/>
    <w:rsid w:val="00AC14AF"/>
    <w:rsid w:val="00AC17FF"/>
    <w:rsid w:val="00AC25B2"/>
    <w:rsid w:val="00AC41C3"/>
    <w:rsid w:val="00AC47B6"/>
    <w:rsid w:val="00AC4AB2"/>
    <w:rsid w:val="00AC558B"/>
    <w:rsid w:val="00AC5EFB"/>
    <w:rsid w:val="00AC5FEB"/>
    <w:rsid w:val="00AC6800"/>
    <w:rsid w:val="00AC6961"/>
    <w:rsid w:val="00AC7AA9"/>
    <w:rsid w:val="00AC7D32"/>
    <w:rsid w:val="00AD0017"/>
    <w:rsid w:val="00AD0343"/>
    <w:rsid w:val="00AD0B8C"/>
    <w:rsid w:val="00AD0CBD"/>
    <w:rsid w:val="00AD1825"/>
    <w:rsid w:val="00AD3712"/>
    <w:rsid w:val="00AD3D71"/>
    <w:rsid w:val="00AD3EA2"/>
    <w:rsid w:val="00AD4070"/>
    <w:rsid w:val="00AD4159"/>
    <w:rsid w:val="00AD44DC"/>
    <w:rsid w:val="00AD4609"/>
    <w:rsid w:val="00AD4DEB"/>
    <w:rsid w:val="00AD5A5C"/>
    <w:rsid w:val="00AE0000"/>
    <w:rsid w:val="00AE0067"/>
    <w:rsid w:val="00AE0B31"/>
    <w:rsid w:val="00AE0EF8"/>
    <w:rsid w:val="00AE3218"/>
    <w:rsid w:val="00AE32D9"/>
    <w:rsid w:val="00AE3B1F"/>
    <w:rsid w:val="00AE3BFE"/>
    <w:rsid w:val="00AE3DD4"/>
    <w:rsid w:val="00AE43C4"/>
    <w:rsid w:val="00AE4454"/>
    <w:rsid w:val="00AE4958"/>
    <w:rsid w:val="00AE4D65"/>
    <w:rsid w:val="00AE52B3"/>
    <w:rsid w:val="00AE58AB"/>
    <w:rsid w:val="00AE7DF5"/>
    <w:rsid w:val="00AF003F"/>
    <w:rsid w:val="00AF0141"/>
    <w:rsid w:val="00AF18B3"/>
    <w:rsid w:val="00AF221D"/>
    <w:rsid w:val="00AF23DC"/>
    <w:rsid w:val="00AF3BA9"/>
    <w:rsid w:val="00AF3BD0"/>
    <w:rsid w:val="00AF3DE7"/>
    <w:rsid w:val="00AF4CCA"/>
    <w:rsid w:val="00AF5435"/>
    <w:rsid w:val="00AF584E"/>
    <w:rsid w:val="00AF65EF"/>
    <w:rsid w:val="00AF6608"/>
    <w:rsid w:val="00AF77E8"/>
    <w:rsid w:val="00AF7B5E"/>
    <w:rsid w:val="00AF7F8B"/>
    <w:rsid w:val="00B004D3"/>
    <w:rsid w:val="00B00935"/>
    <w:rsid w:val="00B00CF6"/>
    <w:rsid w:val="00B012BD"/>
    <w:rsid w:val="00B014E7"/>
    <w:rsid w:val="00B01D7F"/>
    <w:rsid w:val="00B022B3"/>
    <w:rsid w:val="00B02A7E"/>
    <w:rsid w:val="00B02D50"/>
    <w:rsid w:val="00B03289"/>
    <w:rsid w:val="00B036E5"/>
    <w:rsid w:val="00B0395A"/>
    <w:rsid w:val="00B04187"/>
    <w:rsid w:val="00B06424"/>
    <w:rsid w:val="00B06604"/>
    <w:rsid w:val="00B07985"/>
    <w:rsid w:val="00B10620"/>
    <w:rsid w:val="00B10B2A"/>
    <w:rsid w:val="00B10CE9"/>
    <w:rsid w:val="00B110B7"/>
    <w:rsid w:val="00B115CA"/>
    <w:rsid w:val="00B122B7"/>
    <w:rsid w:val="00B1287D"/>
    <w:rsid w:val="00B137EA"/>
    <w:rsid w:val="00B13FED"/>
    <w:rsid w:val="00B14152"/>
    <w:rsid w:val="00B14513"/>
    <w:rsid w:val="00B146F4"/>
    <w:rsid w:val="00B147C9"/>
    <w:rsid w:val="00B15ACB"/>
    <w:rsid w:val="00B1686A"/>
    <w:rsid w:val="00B168BA"/>
    <w:rsid w:val="00B16CCB"/>
    <w:rsid w:val="00B20FEC"/>
    <w:rsid w:val="00B211E3"/>
    <w:rsid w:val="00B2165E"/>
    <w:rsid w:val="00B216C6"/>
    <w:rsid w:val="00B218D2"/>
    <w:rsid w:val="00B21BCE"/>
    <w:rsid w:val="00B221AB"/>
    <w:rsid w:val="00B2223A"/>
    <w:rsid w:val="00B2265B"/>
    <w:rsid w:val="00B22735"/>
    <w:rsid w:val="00B22ABA"/>
    <w:rsid w:val="00B233A7"/>
    <w:rsid w:val="00B234C2"/>
    <w:rsid w:val="00B23717"/>
    <w:rsid w:val="00B23ACE"/>
    <w:rsid w:val="00B241B4"/>
    <w:rsid w:val="00B242AF"/>
    <w:rsid w:val="00B24A89"/>
    <w:rsid w:val="00B24DFF"/>
    <w:rsid w:val="00B2614F"/>
    <w:rsid w:val="00B264D3"/>
    <w:rsid w:val="00B26607"/>
    <w:rsid w:val="00B277C0"/>
    <w:rsid w:val="00B279D4"/>
    <w:rsid w:val="00B27EEB"/>
    <w:rsid w:val="00B30004"/>
    <w:rsid w:val="00B302AC"/>
    <w:rsid w:val="00B318AA"/>
    <w:rsid w:val="00B31CB9"/>
    <w:rsid w:val="00B32B89"/>
    <w:rsid w:val="00B32F25"/>
    <w:rsid w:val="00B332BE"/>
    <w:rsid w:val="00B33C46"/>
    <w:rsid w:val="00B34E18"/>
    <w:rsid w:val="00B358E4"/>
    <w:rsid w:val="00B37CD6"/>
    <w:rsid w:val="00B40E09"/>
    <w:rsid w:val="00B4126F"/>
    <w:rsid w:val="00B416F4"/>
    <w:rsid w:val="00B41991"/>
    <w:rsid w:val="00B41E8E"/>
    <w:rsid w:val="00B41E9A"/>
    <w:rsid w:val="00B420B0"/>
    <w:rsid w:val="00B42258"/>
    <w:rsid w:val="00B42450"/>
    <w:rsid w:val="00B43316"/>
    <w:rsid w:val="00B44107"/>
    <w:rsid w:val="00B447CB"/>
    <w:rsid w:val="00B44997"/>
    <w:rsid w:val="00B45413"/>
    <w:rsid w:val="00B45891"/>
    <w:rsid w:val="00B46449"/>
    <w:rsid w:val="00B46A3C"/>
    <w:rsid w:val="00B47A89"/>
    <w:rsid w:val="00B47E62"/>
    <w:rsid w:val="00B47F99"/>
    <w:rsid w:val="00B50B02"/>
    <w:rsid w:val="00B51A8A"/>
    <w:rsid w:val="00B51CB4"/>
    <w:rsid w:val="00B5239D"/>
    <w:rsid w:val="00B52945"/>
    <w:rsid w:val="00B52B57"/>
    <w:rsid w:val="00B53088"/>
    <w:rsid w:val="00B53341"/>
    <w:rsid w:val="00B533D2"/>
    <w:rsid w:val="00B536B4"/>
    <w:rsid w:val="00B53710"/>
    <w:rsid w:val="00B53D89"/>
    <w:rsid w:val="00B552B8"/>
    <w:rsid w:val="00B56CDE"/>
    <w:rsid w:val="00B5734F"/>
    <w:rsid w:val="00B575F0"/>
    <w:rsid w:val="00B578B5"/>
    <w:rsid w:val="00B600FE"/>
    <w:rsid w:val="00B6048A"/>
    <w:rsid w:val="00B60635"/>
    <w:rsid w:val="00B61262"/>
    <w:rsid w:val="00B612F1"/>
    <w:rsid w:val="00B618A0"/>
    <w:rsid w:val="00B61F44"/>
    <w:rsid w:val="00B62526"/>
    <w:rsid w:val="00B629EE"/>
    <w:rsid w:val="00B6426D"/>
    <w:rsid w:val="00B650CF"/>
    <w:rsid w:val="00B65C72"/>
    <w:rsid w:val="00B65F82"/>
    <w:rsid w:val="00B661D4"/>
    <w:rsid w:val="00B667F6"/>
    <w:rsid w:val="00B70D74"/>
    <w:rsid w:val="00B71032"/>
    <w:rsid w:val="00B716F8"/>
    <w:rsid w:val="00B71E34"/>
    <w:rsid w:val="00B7326F"/>
    <w:rsid w:val="00B7378C"/>
    <w:rsid w:val="00B73C86"/>
    <w:rsid w:val="00B762A9"/>
    <w:rsid w:val="00B76AA9"/>
    <w:rsid w:val="00B77BB6"/>
    <w:rsid w:val="00B80917"/>
    <w:rsid w:val="00B81B3B"/>
    <w:rsid w:val="00B827E7"/>
    <w:rsid w:val="00B8333A"/>
    <w:rsid w:val="00B83403"/>
    <w:rsid w:val="00B8443F"/>
    <w:rsid w:val="00B860FE"/>
    <w:rsid w:val="00B87CFB"/>
    <w:rsid w:val="00B87EE4"/>
    <w:rsid w:val="00B87F3F"/>
    <w:rsid w:val="00B91352"/>
    <w:rsid w:val="00B917E2"/>
    <w:rsid w:val="00B924B7"/>
    <w:rsid w:val="00B924B9"/>
    <w:rsid w:val="00B92BEC"/>
    <w:rsid w:val="00B9388E"/>
    <w:rsid w:val="00B93D7E"/>
    <w:rsid w:val="00B948B3"/>
    <w:rsid w:val="00B95547"/>
    <w:rsid w:val="00B95659"/>
    <w:rsid w:val="00B956A2"/>
    <w:rsid w:val="00B95BF4"/>
    <w:rsid w:val="00B962C7"/>
    <w:rsid w:val="00B96736"/>
    <w:rsid w:val="00B96A16"/>
    <w:rsid w:val="00B9759F"/>
    <w:rsid w:val="00B97A8E"/>
    <w:rsid w:val="00BA1CF8"/>
    <w:rsid w:val="00BA27AD"/>
    <w:rsid w:val="00BA2A64"/>
    <w:rsid w:val="00BA2D9F"/>
    <w:rsid w:val="00BA3DEF"/>
    <w:rsid w:val="00BA499C"/>
    <w:rsid w:val="00BA5A6A"/>
    <w:rsid w:val="00BA5DA7"/>
    <w:rsid w:val="00BA7810"/>
    <w:rsid w:val="00BB014D"/>
    <w:rsid w:val="00BB1830"/>
    <w:rsid w:val="00BB220F"/>
    <w:rsid w:val="00BB2B14"/>
    <w:rsid w:val="00BB428F"/>
    <w:rsid w:val="00BB4A09"/>
    <w:rsid w:val="00BB532A"/>
    <w:rsid w:val="00BB5B51"/>
    <w:rsid w:val="00BB5E11"/>
    <w:rsid w:val="00BB7E13"/>
    <w:rsid w:val="00BC06E2"/>
    <w:rsid w:val="00BC0E8A"/>
    <w:rsid w:val="00BC0FDA"/>
    <w:rsid w:val="00BC1A1F"/>
    <w:rsid w:val="00BC23A2"/>
    <w:rsid w:val="00BC323D"/>
    <w:rsid w:val="00BC3C3D"/>
    <w:rsid w:val="00BC43EA"/>
    <w:rsid w:val="00BC4CC0"/>
    <w:rsid w:val="00BC509C"/>
    <w:rsid w:val="00BC51EA"/>
    <w:rsid w:val="00BC5F46"/>
    <w:rsid w:val="00BC60F6"/>
    <w:rsid w:val="00BC61E8"/>
    <w:rsid w:val="00BC62F1"/>
    <w:rsid w:val="00BC65BB"/>
    <w:rsid w:val="00BC6CA8"/>
    <w:rsid w:val="00BC6F2C"/>
    <w:rsid w:val="00BC70AA"/>
    <w:rsid w:val="00BD00FE"/>
    <w:rsid w:val="00BD01E6"/>
    <w:rsid w:val="00BD10D0"/>
    <w:rsid w:val="00BD1F27"/>
    <w:rsid w:val="00BD2656"/>
    <w:rsid w:val="00BD313F"/>
    <w:rsid w:val="00BD3615"/>
    <w:rsid w:val="00BD3723"/>
    <w:rsid w:val="00BD53DE"/>
    <w:rsid w:val="00BD5BEE"/>
    <w:rsid w:val="00BD7E7A"/>
    <w:rsid w:val="00BE0B80"/>
    <w:rsid w:val="00BE0C22"/>
    <w:rsid w:val="00BE1DF9"/>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77C"/>
    <w:rsid w:val="00BE7826"/>
    <w:rsid w:val="00BF0581"/>
    <w:rsid w:val="00BF08E9"/>
    <w:rsid w:val="00BF0D44"/>
    <w:rsid w:val="00BF19DA"/>
    <w:rsid w:val="00BF39FE"/>
    <w:rsid w:val="00BF3DF7"/>
    <w:rsid w:val="00BF4A76"/>
    <w:rsid w:val="00BF4C07"/>
    <w:rsid w:val="00BF56F8"/>
    <w:rsid w:val="00BF59BE"/>
    <w:rsid w:val="00BF6097"/>
    <w:rsid w:val="00BF6F1C"/>
    <w:rsid w:val="00BF7233"/>
    <w:rsid w:val="00BF79D5"/>
    <w:rsid w:val="00C00EE7"/>
    <w:rsid w:val="00C01C3F"/>
    <w:rsid w:val="00C02620"/>
    <w:rsid w:val="00C02977"/>
    <w:rsid w:val="00C02F22"/>
    <w:rsid w:val="00C0330A"/>
    <w:rsid w:val="00C04C4E"/>
    <w:rsid w:val="00C05048"/>
    <w:rsid w:val="00C0528C"/>
    <w:rsid w:val="00C064CB"/>
    <w:rsid w:val="00C06CD8"/>
    <w:rsid w:val="00C0779A"/>
    <w:rsid w:val="00C07D8A"/>
    <w:rsid w:val="00C11758"/>
    <w:rsid w:val="00C11BFF"/>
    <w:rsid w:val="00C11D0C"/>
    <w:rsid w:val="00C11E9D"/>
    <w:rsid w:val="00C12F2F"/>
    <w:rsid w:val="00C17281"/>
    <w:rsid w:val="00C208F9"/>
    <w:rsid w:val="00C20B7F"/>
    <w:rsid w:val="00C20CA3"/>
    <w:rsid w:val="00C21734"/>
    <w:rsid w:val="00C21780"/>
    <w:rsid w:val="00C23328"/>
    <w:rsid w:val="00C238D8"/>
    <w:rsid w:val="00C23CC1"/>
    <w:rsid w:val="00C23D8A"/>
    <w:rsid w:val="00C23E80"/>
    <w:rsid w:val="00C23F79"/>
    <w:rsid w:val="00C2463D"/>
    <w:rsid w:val="00C24D8D"/>
    <w:rsid w:val="00C251FE"/>
    <w:rsid w:val="00C25B9E"/>
    <w:rsid w:val="00C2615D"/>
    <w:rsid w:val="00C269CD"/>
    <w:rsid w:val="00C26DAF"/>
    <w:rsid w:val="00C2755A"/>
    <w:rsid w:val="00C27659"/>
    <w:rsid w:val="00C278BE"/>
    <w:rsid w:val="00C302A8"/>
    <w:rsid w:val="00C303BA"/>
    <w:rsid w:val="00C3055B"/>
    <w:rsid w:val="00C30D32"/>
    <w:rsid w:val="00C30F1B"/>
    <w:rsid w:val="00C3113C"/>
    <w:rsid w:val="00C3119F"/>
    <w:rsid w:val="00C3149C"/>
    <w:rsid w:val="00C315B1"/>
    <w:rsid w:val="00C31822"/>
    <w:rsid w:val="00C3210C"/>
    <w:rsid w:val="00C3302E"/>
    <w:rsid w:val="00C335A4"/>
    <w:rsid w:val="00C33B4D"/>
    <w:rsid w:val="00C33BE9"/>
    <w:rsid w:val="00C33EC6"/>
    <w:rsid w:val="00C35288"/>
    <w:rsid w:val="00C3542C"/>
    <w:rsid w:val="00C37D19"/>
    <w:rsid w:val="00C40314"/>
    <w:rsid w:val="00C40DA5"/>
    <w:rsid w:val="00C40E1A"/>
    <w:rsid w:val="00C4109D"/>
    <w:rsid w:val="00C43C8D"/>
    <w:rsid w:val="00C4500C"/>
    <w:rsid w:val="00C464A7"/>
    <w:rsid w:val="00C4693A"/>
    <w:rsid w:val="00C469CD"/>
    <w:rsid w:val="00C475AC"/>
    <w:rsid w:val="00C477F0"/>
    <w:rsid w:val="00C50CE9"/>
    <w:rsid w:val="00C51EC0"/>
    <w:rsid w:val="00C5245A"/>
    <w:rsid w:val="00C52EFF"/>
    <w:rsid w:val="00C53134"/>
    <w:rsid w:val="00C53170"/>
    <w:rsid w:val="00C535C5"/>
    <w:rsid w:val="00C536AF"/>
    <w:rsid w:val="00C54135"/>
    <w:rsid w:val="00C54290"/>
    <w:rsid w:val="00C54739"/>
    <w:rsid w:val="00C54C6E"/>
    <w:rsid w:val="00C55250"/>
    <w:rsid w:val="00C55584"/>
    <w:rsid w:val="00C56048"/>
    <w:rsid w:val="00C578FA"/>
    <w:rsid w:val="00C60135"/>
    <w:rsid w:val="00C6021F"/>
    <w:rsid w:val="00C6031E"/>
    <w:rsid w:val="00C60DE0"/>
    <w:rsid w:val="00C613C2"/>
    <w:rsid w:val="00C61777"/>
    <w:rsid w:val="00C6257B"/>
    <w:rsid w:val="00C62CE9"/>
    <w:rsid w:val="00C62FE6"/>
    <w:rsid w:val="00C63C78"/>
    <w:rsid w:val="00C63CB0"/>
    <w:rsid w:val="00C65169"/>
    <w:rsid w:val="00C6536F"/>
    <w:rsid w:val="00C659FC"/>
    <w:rsid w:val="00C66422"/>
    <w:rsid w:val="00C66D00"/>
    <w:rsid w:val="00C67517"/>
    <w:rsid w:val="00C67AF0"/>
    <w:rsid w:val="00C67B05"/>
    <w:rsid w:val="00C704F9"/>
    <w:rsid w:val="00C71E43"/>
    <w:rsid w:val="00C72881"/>
    <w:rsid w:val="00C73AB3"/>
    <w:rsid w:val="00C74D49"/>
    <w:rsid w:val="00C75191"/>
    <w:rsid w:val="00C75910"/>
    <w:rsid w:val="00C760BD"/>
    <w:rsid w:val="00C7696B"/>
    <w:rsid w:val="00C76B08"/>
    <w:rsid w:val="00C770B0"/>
    <w:rsid w:val="00C7722E"/>
    <w:rsid w:val="00C77BDC"/>
    <w:rsid w:val="00C77DF9"/>
    <w:rsid w:val="00C80904"/>
    <w:rsid w:val="00C813AE"/>
    <w:rsid w:val="00C814BA"/>
    <w:rsid w:val="00C81682"/>
    <w:rsid w:val="00C83D64"/>
    <w:rsid w:val="00C849DC"/>
    <w:rsid w:val="00C84BEE"/>
    <w:rsid w:val="00C85093"/>
    <w:rsid w:val="00C8537A"/>
    <w:rsid w:val="00C857BD"/>
    <w:rsid w:val="00C8671A"/>
    <w:rsid w:val="00C867C3"/>
    <w:rsid w:val="00C903D2"/>
    <w:rsid w:val="00C93B6F"/>
    <w:rsid w:val="00C94A69"/>
    <w:rsid w:val="00C9576D"/>
    <w:rsid w:val="00C957B6"/>
    <w:rsid w:val="00C961C3"/>
    <w:rsid w:val="00C96FD0"/>
    <w:rsid w:val="00C97DB7"/>
    <w:rsid w:val="00C97E22"/>
    <w:rsid w:val="00CA04F4"/>
    <w:rsid w:val="00CA0823"/>
    <w:rsid w:val="00CA214C"/>
    <w:rsid w:val="00CA29F9"/>
    <w:rsid w:val="00CA467A"/>
    <w:rsid w:val="00CA46D9"/>
    <w:rsid w:val="00CA473C"/>
    <w:rsid w:val="00CA5C85"/>
    <w:rsid w:val="00CA6433"/>
    <w:rsid w:val="00CA6842"/>
    <w:rsid w:val="00CA6ABA"/>
    <w:rsid w:val="00CA6F49"/>
    <w:rsid w:val="00CA752A"/>
    <w:rsid w:val="00CB003D"/>
    <w:rsid w:val="00CB066D"/>
    <w:rsid w:val="00CB0895"/>
    <w:rsid w:val="00CB0E79"/>
    <w:rsid w:val="00CB110F"/>
    <w:rsid w:val="00CB13A2"/>
    <w:rsid w:val="00CB1C01"/>
    <w:rsid w:val="00CB2335"/>
    <w:rsid w:val="00CB28D1"/>
    <w:rsid w:val="00CB2C90"/>
    <w:rsid w:val="00CB3619"/>
    <w:rsid w:val="00CB3788"/>
    <w:rsid w:val="00CB4902"/>
    <w:rsid w:val="00CB4967"/>
    <w:rsid w:val="00CB4B36"/>
    <w:rsid w:val="00CB566F"/>
    <w:rsid w:val="00CB58B3"/>
    <w:rsid w:val="00CB65B0"/>
    <w:rsid w:val="00CB67F0"/>
    <w:rsid w:val="00CB68B5"/>
    <w:rsid w:val="00CB6C72"/>
    <w:rsid w:val="00CC0244"/>
    <w:rsid w:val="00CC0FCE"/>
    <w:rsid w:val="00CC15C4"/>
    <w:rsid w:val="00CC19D3"/>
    <w:rsid w:val="00CC1FFE"/>
    <w:rsid w:val="00CC2581"/>
    <w:rsid w:val="00CC25F6"/>
    <w:rsid w:val="00CC26CB"/>
    <w:rsid w:val="00CC286D"/>
    <w:rsid w:val="00CC2F7B"/>
    <w:rsid w:val="00CC385C"/>
    <w:rsid w:val="00CC3B64"/>
    <w:rsid w:val="00CC44EE"/>
    <w:rsid w:val="00CC479D"/>
    <w:rsid w:val="00CC4990"/>
    <w:rsid w:val="00CC4E55"/>
    <w:rsid w:val="00CC5325"/>
    <w:rsid w:val="00CC54FD"/>
    <w:rsid w:val="00CC60E8"/>
    <w:rsid w:val="00CC627D"/>
    <w:rsid w:val="00CC6CF9"/>
    <w:rsid w:val="00CC72C5"/>
    <w:rsid w:val="00CC78C4"/>
    <w:rsid w:val="00CD1183"/>
    <w:rsid w:val="00CD13E8"/>
    <w:rsid w:val="00CD2906"/>
    <w:rsid w:val="00CD2E8F"/>
    <w:rsid w:val="00CD4432"/>
    <w:rsid w:val="00CD5367"/>
    <w:rsid w:val="00CD58FE"/>
    <w:rsid w:val="00CD688F"/>
    <w:rsid w:val="00CD7410"/>
    <w:rsid w:val="00CD761E"/>
    <w:rsid w:val="00CD77FE"/>
    <w:rsid w:val="00CD7E86"/>
    <w:rsid w:val="00CE2090"/>
    <w:rsid w:val="00CE472F"/>
    <w:rsid w:val="00CE47B6"/>
    <w:rsid w:val="00CE5D57"/>
    <w:rsid w:val="00CE6AEB"/>
    <w:rsid w:val="00CE7684"/>
    <w:rsid w:val="00CE7CF8"/>
    <w:rsid w:val="00CF2EFB"/>
    <w:rsid w:val="00CF42C0"/>
    <w:rsid w:val="00CF50E5"/>
    <w:rsid w:val="00CF5178"/>
    <w:rsid w:val="00CF565F"/>
    <w:rsid w:val="00CF5CD5"/>
    <w:rsid w:val="00CF5F28"/>
    <w:rsid w:val="00CF6927"/>
    <w:rsid w:val="00D0027D"/>
    <w:rsid w:val="00D045AB"/>
    <w:rsid w:val="00D045D2"/>
    <w:rsid w:val="00D045DE"/>
    <w:rsid w:val="00D050CA"/>
    <w:rsid w:val="00D054D8"/>
    <w:rsid w:val="00D05DA4"/>
    <w:rsid w:val="00D05E78"/>
    <w:rsid w:val="00D07F3F"/>
    <w:rsid w:val="00D102D4"/>
    <w:rsid w:val="00D105EB"/>
    <w:rsid w:val="00D1130C"/>
    <w:rsid w:val="00D11C1D"/>
    <w:rsid w:val="00D12384"/>
    <w:rsid w:val="00D12953"/>
    <w:rsid w:val="00D13355"/>
    <w:rsid w:val="00D149C8"/>
    <w:rsid w:val="00D14AE5"/>
    <w:rsid w:val="00D153C1"/>
    <w:rsid w:val="00D15622"/>
    <w:rsid w:val="00D16100"/>
    <w:rsid w:val="00D1657F"/>
    <w:rsid w:val="00D17CB4"/>
    <w:rsid w:val="00D17E6D"/>
    <w:rsid w:val="00D202CE"/>
    <w:rsid w:val="00D203E9"/>
    <w:rsid w:val="00D20A1A"/>
    <w:rsid w:val="00D20FE9"/>
    <w:rsid w:val="00D21663"/>
    <w:rsid w:val="00D22023"/>
    <w:rsid w:val="00D22109"/>
    <w:rsid w:val="00D22742"/>
    <w:rsid w:val="00D235C6"/>
    <w:rsid w:val="00D23FAD"/>
    <w:rsid w:val="00D24163"/>
    <w:rsid w:val="00D24BDB"/>
    <w:rsid w:val="00D25618"/>
    <w:rsid w:val="00D257BB"/>
    <w:rsid w:val="00D25B6D"/>
    <w:rsid w:val="00D25CB9"/>
    <w:rsid w:val="00D26046"/>
    <w:rsid w:val="00D270CB"/>
    <w:rsid w:val="00D2732B"/>
    <w:rsid w:val="00D27741"/>
    <w:rsid w:val="00D27D30"/>
    <w:rsid w:val="00D305EC"/>
    <w:rsid w:val="00D30D81"/>
    <w:rsid w:val="00D30FDA"/>
    <w:rsid w:val="00D31B0F"/>
    <w:rsid w:val="00D32A90"/>
    <w:rsid w:val="00D334FE"/>
    <w:rsid w:val="00D3360B"/>
    <w:rsid w:val="00D339CF"/>
    <w:rsid w:val="00D339F5"/>
    <w:rsid w:val="00D3479D"/>
    <w:rsid w:val="00D34914"/>
    <w:rsid w:val="00D34B16"/>
    <w:rsid w:val="00D3555D"/>
    <w:rsid w:val="00D358A0"/>
    <w:rsid w:val="00D35B85"/>
    <w:rsid w:val="00D363DF"/>
    <w:rsid w:val="00D408EA"/>
    <w:rsid w:val="00D41476"/>
    <w:rsid w:val="00D416D7"/>
    <w:rsid w:val="00D421F0"/>
    <w:rsid w:val="00D42750"/>
    <w:rsid w:val="00D4282A"/>
    <w:rsid w:val="00D44613"/>
    <w:rsid w:val="00D4637C"/>
    <w:rsid w:val="00D4649F"/>
    <w:rsid w:val="00D4671F"/>
    <w:rsid w:val="00D468AC"/>
    <w:rsid w:val="00D47268"/>
    <w:rsid w:val="00D506A7"/>
    <w:rsid w:val="00D52218"/>
    <w:rsid w:val="00D52542"/>
    <w:rsid w:val="00D5329B"/>
    <w:rsid w:val="00D539C8"/>
    <w:rsid w:val="00D53E60"/>
    <w:rsid w:val="00D5485E"/>
    <w:rsid w:val="00D56437"/>
    <w:rsid w:val="00D56DE3"/>
    <w:rsid w:val="00D56DE6"/>
    <w:rsid w:val="00D570BC"/>
    <w:rsid w:val="00D573EA"/>
    <w:rsid w:val="00D579A6"/>
    <w:rsid w:val="00D60D2B"/>
    <w:rsid w:val="00D61A22"/>
    <w:rsid w:val="00D61D9E"/>
    <w:rsid w:val="00D621AA"/>
    <w:rsid w:val="00D6300D"/>
    <w:rsid w:val="00D631D2"/>
    <w:rsid w:val="00D637D9"/>
    <w:rsid w:val="00D65906"/>
    <w:rsid w:val="00D65CC9"/>
    <w:rsid w:val="00D66DC1"/>
    <w:rsid w:val="00D66E87"/>
    <w:rsid w:val="00D66EF0"/>
    <w:rsid w:val="00D66F25"/>
    <w:rsid w:val="00D66FC5"/>
    <w:rsid w:val="00D6741D"/>
    <w:rsid w:val="00D677C4"/>
    <w:rsid w:val="00D679C2"/>
    <w:rsid w:val="00D70954"/>
    <w:rsid w:val="00D7095B"/>
    <w:rsid w:val="00D720BD"/>
    <w:rsid w:val="00D720F1"/>
    <w:rsid w:val="00D7252F"/>
    <w:rsid w:val="00D75C7B"/>
    <w:rsid w:val="00D76F19"/>
    <w:rsid w:val="00D774C7"/>
    <w:rsid w:val="00D77EFF"/>
    <w:rsid w:val="00D807F1"/>
    <w:rsid w:val="00D8088C"/>
    <w:rsid w:val="00D80D71"/>
    <w:rsid w:val="00D8167D"/>
    <w:rsid w:val="00D81873"/>
    <w:rsid w:val="00D81B81"/>
    <w:rsid w:val="00D81CC4"/>
    <w:rsid w:val="00D82C72"/>
    <w:rsid w:val="00D82EE9"/>
    <w:rsid w:val="00D83A2E"/>
    <w:rsid w:val="00D8453D"/>
    <w:rsid w:val="00D84D5F"/>
    <w:rsid w:val="00D854A2"/>
    <w:rsid w:val="00D859B2"/>
    <w:rsid w:val="00D85BA2"/>
    <w:rsid w:val="00D85DC3"/>
    <w:rsid w:val="00D86957"/>
    <w:rsid w:val="00D86A93"/>
    <w:rsid w:val="00D86AD5"/>
    <w:rsid w:val="00D86C5D"/>
    <w:rsid w:val="00D87470"/>
    <w:rsid w:val="00D905A3"/>
    <w:rsid w:val="00D90A72"/>
    <w:rsid w:val="00D90D40"/>
    <w:rsid w:val="00D91111"/>
    <w:rsid w:val="00D917C7"/>
    <w:rsid w:val="00D91CA2"/>
    <w:rsid w:val="00D92719"/>
    <w:rsid w:val="00D92844"/>
    <w:rsid w:val="00D92A52"/>
    <w:rsid w:val="00D92CB8"/>
    <w:rsid w:val="00D92D7A"/>
    <w:rsid w:val="00D934B8"/>
    <w:rsid w:val="00D94248"/>
    <w:rsid w:val="00D94E04"/>
    <w:rsid w:val="00D95300"/>
    <w:rsid w:val="00D95C9B"/>
    <w:rsid w:val="00D95D9F"/>
    <w:rsid w:val="00D962ED"/>
    <w:rsid w:val="00D96631"/>
    <w:rsid w:val="00D96B28"/>
    <w:rsid w:val="00D96D87"/>
    <w:rsid w:val="00DA00FE"/>
    <w:rsid w:val="00DA04DA"/>
    <w:rsid w:val="00DA0D97"/>
    <w:rsid w:val="00DA10B6"/>
    <w:rsid w:val="00DA12F4"/>
    <w:rsid w:val="00DA2082"/>
    <w:rsid w:val="00DA249E"/>
    <w:rsid w:val="00DA2AFF"/>
    <w:rsid w:val="00DA2B04"/>
    <w:rsid w:val="00DA2F07"/>
    <w:rsid w:val="00DA3752"/>
    <w:rsid w:val="00DA47C4"/>
    <w:rsid w:val="00DA5DB6"/>
    <w:rsid w:val="00DA5DC0"/>
    <w:rsid w:val="00DA62C1"/>
    <w:rsid w:val="00DA7691"/>
    <w:rsid w:val="00DB0054"/>
    <w:rsid w:val="00DB0F07"/>
    <w:rsid w:val="00DB1681"/>
    <w:rsid w:val="00DB1D0E"/>
    <w:rsid w:val="00DB2595"/>
    <w:rsid w:val="00DB290E"/>
    <w:rsid w:val="00DB4FE6"/>
    <w:rsid w:val="00DB65C0"/>
    <w:rsid w:val="00DB7173"/>
    <w:rsid w:val="00DB74B1"/>
    <w:rsid w:val="00DB7C11"/>
    <w:rsid w:val="00DB7FCD"/>
    <w:rsid w:val="00DC031E"/>
    <w:rsid w:val="00DC1023"/>
    <w:rsid w:val="00DC144A"/>
    <w:rsid w:val="00DC181C"/>
    <w:rsid w:val="00DC2440"/>
    <w:rsid w:val="00DC274B"/>
    <w:rsid w:val="00DC2A42"/>
    <w:rsid w:val="00DC30F3"/>
    <w:rsid w:val="00DC352F"/>
    <w:rsid w:val="00DC3E85"/>
    <w:rsid w:val="00DC40C3"/>
    <w:rsid w:val="00DC4278"/>
    <w:rsid w:val="00DC4A83"/>
    <w:rsid w:val="00DC5522"/>
    <w:rsid w:val="00DC6C22"/>
    <w:rsid w:val="00DC70D7"/>
    <w:rsid w:val="00DC73BC"/>
    <w:rsid w:val="00DD0C17"/>
    <w:rsid w:val="00DD1F39"/>
    <w:rsid w:val="00DD2D6E"/>
    <w:rsid w:val="00DD33A0"/>
    <w:rsid w:val="00DD3AC2"/>
    <w:rsid w:val="00DD3C69"/>
    <w:rsid w:val="00DD3EDE"/>
    <w:rsid w:val="00DD538D"/>
    <w:rsid w:val="00DD54C6"/>
    <w:rsid w:val="00DD5C09"/>
    <w:rsid w:val="00DD64DA"/>
    <w:rsid w:val="00DD7653"/>
    <w:rsid w:val="00DD790D"/>
    <w:rsid w:val="00DE0A40"/>
    <w:rsid w:val="00DE1653"/>
    <w:rsid w:val="00DE2D8D"/>
    <w:rsid w:val="00DE371F"/>
    <w:rsid w:val="00DE55D9"/>
    <w:rsid w:val="00DE6364"/>
    <w:rsid w:val="00DE6929"/>
    <w:rsid w:val="00DE72F8"/>
    <w:rsid w:val="00DE739D"/>
    <w:rsid w:val="00DE7C34"/>
    <w:rsid w:val="00DE7D7D"/>
    <w:rsid w:val="00DF0661"/>
    <w:rsid w:val="00DF06AC"/>
    <w:rsid w:val="00DF06B7"/>
    <w:rsid w:val="00DF0E04"/>
    <w:rsid w:val="00DF1826"/>
    <w:rsid w:val="00DF2018"/>
    <w:rsid w:val="00DF20A2"/>
    <w:rsid w:val="00DF210C"/>
    <w:rsid w:val="00DF39D3"/>
    <w:rsid w:val="00DF4EB5"/>
    <w:rsid w:val="00DF53AF"/>
    <w:rsid w:val="00DF5957"/>
    <w:rsid w:val="00DF655F"/>
    <w:rsid w:val="00DF759D"/>
    <w:rsid w:val="00DF7BAE"/>
    <w:rsid w:val="00E00675"/>
    <w:rsid w:val="00E00FA3"/>
    <w:rsid w:val="00E01455"/>
    <w:rsid w:val="00E01802"/>
    <w:rsid w:val="00E01BE2"/>
    <w:rsid w:val="00E022A9"/>
    <w:rsid w:val="00E02471"/>
    <w:rsid w:val="00E04357"/>
    <w:rsid w:val="00E04835"/>
    <w:rsid w:val="00E04F3F"/>
    <w:rsid w:val="00E0546F"/>
    <w:rsid w:val="00E059EE"/>
    <w:rsid w:val="00E05BA4"/>
    <w:rsid w:val="00E05E12"/>
    <w:rsid w:val="00E05EE8"/>
    <w:rsid w:val="00E06550"/>
    <w:rsid w:val="00E06585"/>
    <w:rsid w:val="00E06CC5"/>
    <w:rsid w:val="00E06DA8"/>
    <w:rsid w:val="00E079C3"/>
    <w:rsid w:val="00E07A2C"/>
    <w:rsid w:val="00E07EB2"/>
    <w:rsid w:val="00E10BC8"/>
    <w:rsid w:val="00E112A5"/>
    <w:rsid w:val="00E1170A"/>
    <w:rsid w:val="00E120D6"/>
    <w:rsid w:val="00E12D3B"/>
    <w:rsid w:val="00E13BD4"/>
    <w:rsid w:val="00E13EE0"/>
    <w:rsid w:val="00E14535"/>
    <w:rsid w:val="00E15A39"/>
    <w:rsid w:val="00E15DAA"/>
    <w:rsid w:val="00E16C98"/>
    <w:rsid w:val="00E16F6F"/>
    <w:rsid w:val="00E17FC4"/>
    <w:rsid w:val="00E21A3F"/>
    <w:rsid w:val="00E222A4"/>
    <w:rsid w:val="00E22C20"/>
    <w:rsid w:val="00E23E08"/>
    <w:rsid w:val="00E23EBF"/>
    <w:rsid w:val="00E24459"/>
    <w:rsid w:val="00E246D4"/>
    <w:rsid w:val="00E25F5E"/>
    <w:rsid w:val="00E2648E"/>
    <w:rsid w:val="00E2666D"/>
    <w:rsid w:val="00E26F87"/>
    <w:rsid w:val="00E27843"/>
    <w:rsid w:val="00E27C0A"/>
    <w:rsid w:val="00E3015C"/>
    <w:rsid w:val="00E3066D"/>
    <w:rsid w:val="00E3127B"/>
    <w:rsid w:val="00E32B75"/>
    <w:rsid w:val="00E33154"/>
    <w:rsid w:val="00E33BEE"/>
    <w:rsid w:val="00E34719"/>
    <w:rsid w:val="00E34AC2"/>
    <w:rsid w:val="00E35291"/>
    <w:rsid w:val="00E355B3"/>
    <w:rsid w:val="00E372AE"/>
    <w:rsid w:val="00E372F7"/>
    <w:rsid w:val="00E37331"/>
    <w:rsid w:val="00E37614"/>
    <w:rsid w:val="00E40217"/>
    <w:rsid w:val="00E40A2D"/>
    <w:rsid w:val="00E40F72"/>
    <w:rsid w:val="00E416E8"/>
    <w:rsid w:val="00E41B8C"/>
    <w:rsid w:val="00E426E3"/>
    <w:rsid w:val="00E42AE6"/>
    <w:rsid w:val="00E43872"/>
    <w:rsid w:val="00E44428"/>
    <w:rsid w:val="00E44AE9"/>
    <w:rsid w:val="00E451F3"/>
    <w:rsid w:val="00E473F1"/>
    <w:rsid w:val="00E50005"/>
    <w:rsid w:val="00E5009F"/>
    <w:rsid w:val="00E501C0"/>
    <w:rsid w:val="00E50972"/>
    <w:rsid w:val="00E52193"/>
    <w:rsid w:val="00E5226B"/>
    <w:rsid w:val="00E528E8"/>
    <w:rsid w:val="00E53191"/>
    <w:rsid w:val="00E53237"/>
    <w:rsid w:val="00E54D53"/>
    <w:rsid w:val="00E554E8"/>
    <w:rsid w:val="00E57523"/>
    <w:rsid w:val="00E61894"/>
    <w:rsid w:val="00E62214"/>
    <w:rsid w:val="00E6245C"/>
    <w:rsid w:val="00E62B4D"/>
    <w:rsid w:val="00E62C34"/>
    <w:rsid w:val="00E62D90"/>
    <w:rsid w:val="00E63140"/>
    <w:rsid w:val="00E633DC"/>
    <w:rsid w:val="00E641A1"/>
    <w:rsid w:val="00E64760"/>
    <w:rsid w:val="00E64BA0"/>
    <w:rsid w:val="00E655E2"/>
    <w:rsid w:val="00E65CD8"/>
    <w:rsid w:val="00E6659F"/>
    <w:rsid w:val="00E66603"/>
    <w:rsid w:val="00E67765"/>
    <w:rsid w:val="00E67939"/>
    <w:rsid w:val="00E67D2C"/>
    <w:rsid w:val="00E711EA"/>
    <w:rsid w:val="00E715D0"/>
    <w:rsid w:val="00E73356"/>
    <w:rsid w:val="00E735A9"/>
    <w:rsid w:val="00E735FE"/>
    <w:rsid w:val="00E73ACF"/>
    <w:rsid w:val="00E74ECC"/>
    <w:rsid w:val="00E757EA"/>
    <w:rsid w:val="00E7627E"/>
    <w:rsid w:val="00E77619"/>
    <w:rsid w:val="00E776F0"/>
    <w:rsid w:val="00E7784D"/>
    <w:rsid w:val="00E800C6"/>
    <w:rsid w:val="00E80640"/>
    <w:rsid w:val="00E810D9"/>
    <w:rsid w:val="00E8157E"/>
    <w:rsid w:val="00E815FC"/>
    <w:rsid w:val="00E81736"/>
    <w:rsid w:val="00E81ED7"/>
    <w:rsid w:val="00E82586"/>
    <w:rsid w:val="00E826C4"/>
    <w:rsid w:val="00E82F1F"/>
    <w:rsid w:val="00E83A20"/>
    <w:rsid w:val="00E84C24"/>
    <w:rsid w:val="00E84D69"/>
    <w:rsid w:val="00E850C3"/>
    <w:rsid w:val="00E856C5"/>
    <w:rsid w:val="00E85C7C"/>
    <w:rsid w:val="00E86488"/>
    <w:rsid w:val="00E90228"/>
    <w:rsid w:val="00E907F4"/>
    <w:rsid w:val="00E90DCC"/>
    <w:rsid w:val="00E90EB2"/>
    <w:rsid w:val="00E9145C"/>
    <w:rsid w:val="00E91D8D"/>
    <w:rsid w:val="00E92FB1"/>
    <w:rsid w:val="00E95BB8"/>
    <w:rsid w:val="00E95D99"/>
    <w:rsid w:val="00E95F4E"/>
    <w:rsid w:val="00E962DD"/>
    <w:rsid w:val="00E96556"/>
    <w:rsid w:val="00E96788"/>
    <w:rsid w:val="00E96858"/>
    <w:rsid w:val="00E96E5D"/>
    <w:rsid w:val="00E9798A"/>
    <w:rsid w:val="00E979F7"/>
    <w:rsid w:val="00EA0ADC"/>
    <w:rsid w:val="00EA1477"/>
    <w:rsid w:val="00EA1D58"/>
    <w:rsid w:val="00EA3000"/>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27"/>
    <w:rsid w:val="00EB28E9"/>
    <w:rsid w:val="00EB29BC"/>
    <w:rsid w:val="00EB2E09"/>
    <w:rsid w:val="00EB336B"/>
    <w:rsid w:val="00EB3653"/>
    <w:rsid w:val="00EB425D"/>
    <w:rsid w:val="00EB45FA"/>
    <w:rsid w:val="00EB578A"/>
    <w:rsid w:val="00EB5D47"/>
    <w:rsid w:val="00EB6273"/>
    <w:rsid w:val="00EB6AFD"/>
    <w:rsid w:val="00EB6C7D"/>
    <w:rsid w:val="00EB70E5"/>
    <w:rsid w:val="00EB74A7"/>
    <w:rsid w:val="00EB7AC2"/>
    <w:rsid w:val="00EB7C8E"/>
    <w:rsid w:val="00EC02BE"/>
    <w:rsid w:val="00EC146E"/>
    <w:rsid w:val="00EC1B1A"/>
    <w:rsid w:val="00EC1BC1"/>
    <w:rsid w:val="00EC2D70"/>
    <w:rsid w:val="00EC35DE"/>
    <w:rsid w:val="00EC4B5D"/>
    <w:rsid w:val="00EC53E6"/>
    <w:rsid w:val="00EC543A"/>
    <w:rsid w:val="00EC5975"/>
    <w:rsid w:val="00EC6120"/>
    <w:rsid w:val="00EC6130"/>
    <w:rsid w:val="00EC650C"/>
    <w:rsid w:val="00EC6766"/>
    <w:rsid w:val="00EC6B27"/>
    <w:rsid w:val="00EC6BF6"/>
    <w:rsid w:val="00EC6C4A"/>
    <w:rsid w:val="00EC79B8"/>
    <w:rsid w:val="00EC7AE3"/>
    <w:rsid w:val="00EC7E08"/>
    <w:rsid w:val="00ED027B"/>
    <w:rsid w:val="00ED0F4E"/>
    <w:rsid w:val="00ED1FF7"/>
    <w:rsid w:val="00ED2563"/>
    <w:rsid w:val="00ED2A4C"/>
    <w:rsid w:val="00ED4371"/>
    <w:rsid w:val="00ED4473"/>
    <w:rsid w:val="00ED6051"/>
    <w:rsid w:val="00ED6DFC"/>
    <w:rsid w:val="00ED75CF"/>
    <w:rsid w:val="00ED762B"/>
    <w:rsid w:val="00EE067C"/>
    <w:rsid w:val="00EE1275"/>
    <w:rsid w:val="00EE1B07"/>
    <w:rsid w:val="00EE1D7D"/>
    <w:rsid w:val="00EE2031"/>
    <w:rsid w:val="00EE281A"/>
    <w:rsid w:val="00EE2D3E"/>
    <w:rsid w:val="00EE35DE"/>
    <w:rsid w:val="00EE4924"/>
    <w:rsid w:val="00EE715E"/>
    <w:rsid w:val="00EE754A"/>
    <w:rsid w:val="00EE759A"/>
    <w:rsid w:val="00EE7A5E"/>
    <w:rsid w:val="00EE7E27"/>
    <w:rsid w:val="00EF039F"/>
    <w:rsid w:val="00EF11CE"/>
    <w:rsid w:val="00EF120E"/>
    <w:rsid w:val="00EF13FE"/>
    <w:rsid w:val="00EF2143"/>
    <w:rsid w:val="00EF256E"/>
    <w:rsid w:val="00EF3159"/>
    <w:rsid w:val="00EF384D"/>
    <w:rsid w:val="00EF4569"/>
    <w:rsid w:val="00EF4B37"/>
    <w:rsid w:val="00EF4F51"/>
    <w:rsid w:val="00EF6960"/>
    <w:rsid w:val="00EF74D6"/>
    <w:rsid w:val="00EF7D4C"/>
    <w:rsid w:val="00F0088A"/>
    <w:rsid w:val="00F02CCF"/>
    <w:rsid w:val="00F02E7D"/>
    <w:rsid w:val="00F03706"/>
    <w:rsid w:val="00F05C4C"/>
    <w:rsid w:val="00F062AC"/>
    <w:rsid w:val="00F066CC"/>
    <w:rsid w:val="00F068A0"/>
    <w:rsid w:val="00F070A4"/>
    <w:rsid w:val="00F0745D"/>
    <w:rsid w:val="00F076DB"/>
    <w:rsid w:val="00F10C63"/>
    <w:rsid w:val="00F112AD"/>
    <w:rsid w:val="00F115CA"/>
    <w:rsid w:val="00F121CB"/>
    <w:rsid w:val="00F12787"/>
    <w:rsid w:val="00F129CD"/>
    <w:rsid w:val="00F136A0"/>
    <w:rsid w:val="00F14A08"/>
    <w:rsid w:val="00F152AB"/>
    <w:rsid w:val="00F15BE9"/>
    <w:rsid w:val="00F166FC"/>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EEE"/>
    <w:rsid w:val="00F26F08"/>
    <w:rsid w:val="00F2710C"/>
    <w:rsid w:val="00F274F9"/>
    <w:rsid w:val="00F301B4"/>
    <w:rsid w:val="00F314CA"/>
    <w:rsid w:val="00F31F31"/>
    <w:rsid w:val="00F335CC"/>
    <w:rsid w:val="00F344FF"/>
    <w:rsid w:val="00F34F34"/>
    <w:rsid w:val="00F35350"/>
    <w:rsid w:val="00F35720"/>
    <w:rsid w:val="00F35D14"/>
    <w:rsid w:val="00F35E37"/>
    <w:rsid w:val="00F36CF6"/>
    <w:rsid w:val="00F37737"/>
    <w:rsid w:val="00F4022D"/>
    <w:rsid w:val="00F40BDA"/>
    <w:rsid w:val="00F4138E"/>
    <w:rsid w:val="00F419C8"/>
    <w:rsid w:val="00F41C30"/>
    <w:rsid w:val="00F4235A"/>
    <w:rsid w:val="00F42F73"/>
    <w:rsid w:val="00F4352C"/>
    <w:rsid w:val="00F435DD"/>
    <w:rsid w:val="00F43806"/>
    <w:rsid w:val="00F43EA9"/>
    <w:rsid w:val="00F4480D"/>
    <w:rsid w:val="00F44A54"/>
    <w:rsid w:val="00F46DC9"/>
    <w:rsid w:val="00F47051"/>
    <w:rsid w:val="00F47DFA"/>
    <w:rsid w:val="00F5078F"/>
    <w:rsid w:val="00F5361B"/>
    <w:rsid w:val="00F5425B"/>
    <w:rsid w:val="00F56757"/>
    <w:rsid w:val="00F56A47"/>
    <w:rsid w:val="00F56AAA"/>
    <w:rsid w:val="00F61083"/>
    <w:rsid w:val="00F6123E"/>
    <w:rsid w:val="00F61830"/>
    <w:rsid w:val="00F61CCD"/>
    <w:rsid w:val="00F61E44"/>
    <w:rsid w:val="00F61F2B"/>
    <w:rsid w:val="00F626E6"/>
    <w:rsid w:val="00F6315F"/>
    <w:rsid w:val="00F632F0"/>
    <w:rsid w:val="00F63DF3"/>
    <w:rsid w:val="00F650C6"/>
    <w:rsid w:val="00F6654F"/>
    <w:rsid w:val="00F66C78"/>
    <w:rsid w:val="00F670C5"/>
    <w:rsid w:val="00F671E1"/>
    <w:rsid w:val="00F672F3"/>
    <w:rsid w:val="00F67E52"/>
    <w:rsid w:val="00F708E8"/>
    <w:rsid w:val="00F717A9"/>
    <w:rsid w:val="00F717D7"/>
    <w:rsid w:val="00F72893"/>
    <w:rsid w:val="00F72F75"/>
    <w:rsid w:val="00F744CB"/>
    <w:rsid w:val="00F74885"/>
    <w:rsid w:val="00F7518F"/>
    <w:rsid w:val="00F75D7F"/>
    <w:rsid w:val="00F763E2"/>
    <w:rsid w:val="00F76E91"/>
    <w:rsid w:val="00F76F81"/>
    <w:rsid w:val="00F776C9"/>
    <w:rsid w:val="00F77C20"/>
    <w:rsid w:val="00F77DAA"/>
    <w:rsid w:val="00F808C8"/>
    <w:rsid w:val="00F81447"/>
    <w:rsid w:val="00F81CDF"/>
    <w:rsid w:val="00F82216"/>
    <w:rsid w:val="00F82F71"/>
    <w:rsid w:val="00F8319D"/>
    <w:rsid w:val="00F83BF7"/>
    <w:rsid w:val="00F85164"/>
    <w:rsid w:val="00F852AC"/>
    <w:rsid w:val="00F85AB7"/>
    <w:rsid w:val="00F87873"/>
    <w:rsid w:val="00F8797F"/>
    <w:rsid w:val="00F90368"/>
    <w:rsid w:val="00F90801"/>
    <w:rsid w:val="00F90CEE"/>
    <w:rsid w:val="00F90EB8"/>
    <w:rsid w:val="00F90FD1"/>
    <w:rsid w:val="00F91066"/>
    <w:rsid w:val="00F928A7"/>
    <w:rsid w:val="00F92EBB"/>
    <w:rsid w:val="00F94832"/>
    <w:rsid w:val="00F951A8"/>
    <w:rsid w:val="00F95560"/>
    <w:rsid w:val="00F973B8"/>
    <w:rsid w:val="00FA074C"/>
    <w:rsid w:val="00FA0C0F"/>
    <w:rsid w:val="00FA16EB"/>
    <w:rsid w:val="00FA1715"/>
    <w:rsid w:val="00FA189F"/>
    <w:rsid w:val="00FA1985"/>
    <w:rsid w:val="00FA2DD9"/>
    <w:rsid w:val="00FA2EB3"/>
    <w:rsid w:val="00FA33EA"/>
    <w:rsid w:val="00FA3B31"/>
    <w:rsid w:val="00FA4E6A"/>
    <w:rsid w:val="00FA4F22"/>
    <w:rsid w:val="00FA6021"/>
    <w:rsid w:val="00FA6E71"/>
    <w:rsid w:val="00FA7041"/>
    <w:rsid w:val="00FB1AF5"/>
    <w:rsid w:val="00FB1F32"/>
    <w:rsid w:val="00FB2085"/>
    <w:rsid w:val="00FB2334"/>
    <w:rsid w:val="00FB3319"/>
    <w:rsid w:val="00FB38BA"/>
    <w:rsid w:val="00FB38C1"/>
    <w:rsid w:val="00FB4749"/>
    <w:rsid w:val="00FB496B"/>
    <w:rsid w:val="00FB4EEC"/>
    <w:rsid w:val="00FB5305"/>
    <w:rsid w:val="00FB5539"/>
    <w:rsid w:val="00FB580A"/>
    <w:rsid w:val="00FB5CDA"/>
    <w:rsid w:val="00FB5D0B"/>
    <w:rsid w:val="00FB6219"/>
    <w:rsid w:val="00FB6344"/>
    <w:rsid w:val="00FC03FC"/>
    <w:rsid w:val="00FC0BB0"/>
    <w:rsid w:val="00FC18C6"/>
    <w:rsid w:val="00FC2AA2"/>
    <w:rsid w:val="00FC2BFC"/>
    <w:rsid w:val="00FC2FEF"/>
    <w:rsid w:val="00FC3381"/>
    <w:rsid w:val="00FC46F1"/>
    <w:rsid w:val="00FC4E0A"/>
    <w:rsid w:val="00FC507A"/>
    <w:rsid w:val="00FC5721"/>
    <w:rsid w:val="00FC7057"/>
    <w:rsid w:val="00FC70C1"/>
    <w:rsid w:val="00FC7127"/>
    <w:rsid w:val="00FC7C5E"/>
    <w:rsid w:val="00FD0107"/>
    <w:rsid w:val="00FD0552"/>
    <w:rsid w:val="00FD1F7B"/>
    <w:rsid w:val="00FD1FFB"/>
    <w:rsid w:val="00FD2A36"/>
    <w:rsid w:val="00FD45B6"/>
    <w:rsid w:val="00FD4EE1"/>
    <w:rsid w:val="00FD5B9A"/>
    <w:rsid w:val="00FD5BAB"/>
    <w:rsid w:val="00FD6621"/>
    <w:rsid w:val="00FD7256"/>
    <w:rsid w:val="00FD750F"/>
    <w:rsid w:val="00FE058D"/>
    <w:rsid w:val="00FE1416"/>
    <w:rsid w:val="00FE1B5C"/>
    <w:rsid w:val="00FE2FFD"/>
    <w:rsid w:val="00FE369C"/>
    <w:rsid w:val="00FE381C"/>
    <w:rsid w:val="00FE3C2C"/>
    <w:rsid w:val="00FE45FA"/>
    <w:rsid w:val="00FE477F"/>
    <w:rsid w:val="00FE4CEE"/>
    <w:rsid w:val="00FE53AC"/>
    <w:rsid w:val="00FE675A"/>
    <w:rsid w:val="00FE6F80"/>
    <w:rsid w:val="00FE78F3"/>
    <w:rsid w:val="00FF0141"/>
    <w:rsid w:val="00FF1535"/>
    <w:rsid w:val="00FF1B0C"/>
    <w:rsid w:val="00FF249F"/>
    <w:rsid w:val="00FF309C"/>
    <w:rsid w:val="00FF3DCD"/>
    <w:rsid w:val="00FF51E9"/>
    <w:rsid w:val="00FF56C0"/>
    <w:rsid w:val="00FF5CDC"/>
    <w:rsid w:val="00FF6FAA"/>
    <w:rsid w:val="00FF771D"/>
    <w:rsid w:val="00FF77B0"/>
    <w:rsid w:val="00FF77CF"/>
    <w:rsid w:val="01143310"/>
    <w:rsid w:val="01BE7323"/>
    <w:rsid w:val="025C7268"/>
    <w:rsid w:val="02837091"/>
    <w:rsid w:val="03FA6D38"/>
    <w:rsid w:val="043A1AD2"/>
    <w:rsid w:val="052A53FB"/>
    <w:rsid w:val="05BB24F7"/>
    <w:rsid w:val="05D90BCF"/>
    <w:rsid w:val="061439B5"/>
    <w:rsid w:val="07483E1E"/>
    <w:rsid w:val="07834ADB"/>
    <w:rsid w:val="079E317F"/>
    <w:rsid w:val="07DE623A"/>
    <w:rsid w:val="08055C2D"/>
    <w:rsid w:val="08096D0D"/>
    <w:rsid w:val="0842139A"/>
    <w:rsid w:val="08E27D9B"/>
    <w:rsid w:val="08E41D65"/>
    <w:rsid w:val="09570789"/>
    <w:rsid w:val="0A4F320E"/>
    <w:rsid w:val="0AB319EF"/>
    <w:rsid w:val="0AE52F8B"/>
    <w:rsid w:val="0B2428ED"/>
    <w:rsid w:val="0BB35A1E"/>
    <w:rsid w:val="0CA735E4"/>
    <w:rsid w:val="0E2A1FC8"/>
    <w:rsid w:val="0E751F91"/>
    <w:rsid w:val="0F476BAA"/>
    <w:rsid w:val="0FAB0EE6"/>
    <w:rsid w:val="10817E99"/>
    <w:rsid w:val="10C1473A"/>
    <w:rsid w:val="10E2302E"/>
    <w:rsid w:val="10EC4579"/>
    <w:rsid w:val="11B0342F"/>
    <w:rsid w:val="12437AFC"/>
    <w:rsid w:val="12E8676D"/>
    <w:rsid w:val="13720076"/>
    <w:rsid w:val="139B1477"/>
    <w:rsid w:val="14332AA2"/>
    <w:rsid w:val="143E0882"/>
    <w:rsid w:val="15DC65CF"/>
    <w:rsid w:val="15F1161D"/>
    <w:rsid w:val="162346B4"/>
    <w:rsid w:val="167F22D7"/>
    <w:rsid w:val="17E458DD"/>
    <w:rsid w:val="183C74C7"/>
    <w:rsid w:val="18DC0363"/>
    <w:rsid w:val="1921046B"/>
    <w:rsid w:val="19DB686C"/>
    <w:rsid w:val="1AB561B1"/>
    <w:rsid w:val="1D405E16"/>
    <w:rsid w:val="1D4F1A4B"/>
    <w:rsid w:val="1DD3548B"/>
    <w:rsid w:val="1DED21D8"/>
    <w:rsid w:val="1E4B4EA4"/>
    <w:rsid w:val="1E4C742C"/>
    <w:rsid w:val="1F0E3DA5"/>
    <w:rsid w:val="1F2E743E"/>
    <w:rsid w:val="1F5D75F6"/>
    <w:rsid w:val="20085EE1"/>
    <w:rsid w:val="20280331"/>
    <w:rsid w:val="208D2D81"/>
    <w:rsid w:val="20CE49AC"/>
    <w:rsid w:val="21050673"/>
    <w:rsid w:val="21831676"/>
    <w:rsid w:val="22124DF5"/>
    <w:rsid w:val="22143D06"/>
    <w:rsid w:val="22F75C0D"/>
    <w:rsid w:val="249B4BA3"/>
    <w:rsid w:val="25114177"/>
    <w:rsid w:val="255D5E59"/>
    <w:rsid w:val="265956E8"/>
    <w:rsid w:val="267F67D1"/>
    <w:rsid w:val="27A6670B"/>
    <w:rsid w:val="280675A2"/>
    <w:rsid w:val="28332D0A"/>
    <w:rsid w:val="290F7096"/>
    <w:rsid w:val="29E26A5D"/>
    <w:rsid w:val="2C7B2137"/>
    <w:rsid w:val="2D2F28DA"/>
    <w:rsid w:val="2DF660D0"/>
    <w:rsid w:val="2E1F0FC6"/>
    <w:rsid w:val="2EEB6D1F"/>
    <w:rsid w:val="30532B78"/>
    <w:rsid w:val="307F3F9D"/>
    <w:rsid w:val="323B3EF4"/>
    <w:rsid w:val="32601BAD"/>
    <w:rsid w:val="32827D75"/>
    <w:rsid w:val="32AF5D7F"/>
    <w:rsid w:val="35C80195"/>
    <w:rsid w:val="35C91DF7"/>
    <w:rsid w:val="36987B27"/>
    <w:rsid w:val="37B41547"/>
    <w:rsid w:val="37F45271"/>
    <w:rsid w:val="38C26B8B"/>
    <w:rsid w:val="39FA4695"/>
    <w:rsid w:val="3B4B164C"/>
    <w:rsid w:val="3BBD4754"/>
    <w:rsid w:val="3C722C08"/>
    <w:rsid w:val="3D1617E6"/>
    <w:rsid w:val="3DB03FCF"/>
    <w:rsid w:val="3E2D4356"/>
    <w:rsid w:val="3EB70DA6"/>
    <w:rsid w:val="3EC55165"/>
    <w:rsid w:val="3FAA090B"/>
    <w:rsid w:val="402B1A4C"/>
    <w:rsid w:val="405F34A4"/>
    <w:rsid w:val="408B4299"/>
    <w:rsid w:val="40BA692C"/>
    <w:rsid w:val="40E63BC5"/>
    <w:rsid w:val="40E91D16"/>
    <w:rsid w:val="41596145"/>
    <w:rsid w:val="41967399"/>
    <w:rsid w:val="42B21FB1"/>
    <w:rsid w:val="42BC0E36"/>
    <w:rsid w:val="42BF022A"/>
    <w:rsid w:val="44337121"/>
    <w:rsid w:val="448B0D0B"/>
    <w:rsid w:val="453E3FCF"/>
    <w:rsid w:val="454D4212"/>
    <w:rsid w:val="46D1677D"/>
    <w:rsid w:val="47D204E7"/>
    <w:rsid w:val="480D7C89"/>
    <w:rsid w:val="483416BA"/>
    <w:rsid w:val="498D67EF"/>
    <w:rsid w:val="4A0D5D1E"/>
    <w:rsid w:val="4A7364C9"/>
    <w:rsid w:val="4A78053B"/>
    <w:rsid w:val="4AE922E8"/>
    <w:rsid w:val="4AF76AEB"/>
    <w:rsid w:val="4C104E92"/>
    <w:rsid w:val="4CD174D7"/>
    <w:rsid w:val="4E402B66"/>
    <w:rsid w:val="4E6A1991"/>
    <w:rsid w:val="4F10078B"/>
    <w:rsid w:val="4F7107BA"/>
    <w:rsid w:val="4F781EB6"/>
    <w:rsid w:val="5004130D"/>
    <w:rsid w:val="50961DB0"/>
    <w:rsid w:val="512723B2"/>
    <w:rsid w:val="515661FD"/>
    <w:rsid w:val="518A6447"/>
    <w:rsid w:val="525E180D"/>
    <w:rsid w:val="5311687F"/>
    <w:rsid w:val="5322283B"/>
    <w:rsid w:val="545F5B15"/>
    <w:rsid w:val="54D47EDC"/>
    <w:rsid w:val="55120D38"/>
    <w:rsid w:val="554A6079"/>
    <w:rsid w:val="568850AA"/>
    <w:rsid w:val="572A4F61"/>
    <w:rsid w:val="57BC2494"/>
    <w:rsid w:val="57C3409B"/>
    <w:rsid w:val="583B6311"/>
    <w:rsid w:val="58C80AF0"/>
    <w:rsid w:val="59056077"/>
    <w:rsid w:val="590D7AE9"/>
    <w:rsid w:val="59E06FAB"/>
    <w:rsid w:val="5A2F60F2"/>
    <w:rsid w:val="5AA37855"/>
    <w:rsid w:val="5ADD34EB"/>
    <w:rsid w:val="5B9A423C"/>
    <w:rsid w:val="5BCA3A6F"/>
    <w:rsid w:val="5CA442C0"/>
    <w:rsid w:val="5E2002BE"/>
    <w:rsid w:val="5ED209B4"/>
    <w:rsid w:val="5ED52E57"/>
    <w:rsid w:val="5F1F1CA0"/>
    <w:rsid w:val="5F6A39A8"/>
    <w:rsid w:val="5F8B5C0B"/>
    <w:rsid w:val="60514167"/>
    <w:rsid w:val="61285F53"/>
    <w:rsid w:val="614C3178"/>
    <w:rsid w:val="61D50F23"/>
    <w:rsid w:val="61DC2DC0"/>
    <w:rsid w:val="62066613"/>
    <w:rsid w:val="621B4377"/>
    <w:rsid w:val="6223331E"/>
    <w:rsid w:val="6235591B"/>
    <w:rsid w:val="62532AF1"/>
    <w:rsid w:val="634020EB"/>
    <w:rsid w:val="63B234D4"/>
    <w:rsid w:val="63F20007"/>
    <w:rsid w:val="6562503C"/>
    <w:rsid w:val="65B55790"/>
    <w:rsid w:val="65DF6369"/>
    <w:rsid w:val="662D17CA"/>
    <w:rsid w:val="66E83943"/>
    <w:rsid w:val="67A05FCC"/>
    <w:rsid w:val="680C1784"/>
    <w:rsid w:val="687716F6"/>
    <w:rsid w:val="6AD62431"/>
    <w:rsid w:val="6C040369"/>
    <w:rsid w:val="6D140FEE"/>
    <w:rsid w:val="6E146BD3"/>
    <w:rsid w:val="6E31797E"/>
    <w:rsid w:val="6E471818"/>
    <w:rsid w:val="6E4964BF"/>
    <w:rsid w:val="6FB40867"/>
    <w:rsid w:val="6FC823D0"/>
    <w:rsid w:val="6FFB6495"/>
    <w:rsid w:val="705934DE"/>
    <w:rsid w:val="726C6A6A"/>
    <w:rsid w:val="736D0A90"/>
    <w:rsid w:val="75023E22"/>
    <w:rsid w:val="7533222E"/>
    <w:rsid w:val="755F0478"/>
    <w:rsid w:val="75E63744"/>
    <w:rsid w:val="764010A6"/>
    <w:rsid w:val="776B5CAF"/>
    <w:rsid w:val="77FE6B23"/>
    <w:rsid w:val="79116D2A"/>
    <w:rsid w:val="79F010BC"/>
    <w:rsid w:val="7A70182E"/>
    <w:rsid w:val="7A8C5157"/>
    <w:rsid w:val="7BBF2A6D"/>
    <w:rsid w:val="7BE76D42"/>
    <w:rsid w:val="7BEF3783"/>
    <w:rsid w:val="7C5424EB"/>
    <w:rsid w:val="7D7D673C"/>
    <w:rsid w:val="7D935F5F"/>
    <w:rsid w:val="7DA803EF"/>
    <w:rsid w:val="7F1E3F4E"/>
    <w:rsid w:val="7F374CF6"/>
    <w:rsid w:val="7F8F09A8"/>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b/>
      <w:bCs/>
      <w:kern w:val="2"/>
      <w:sz w:val="44"/>
    </w:rPr>
  </w:style>
  <w:style w:type="character" w:customStyle="1" w:styleId="51">
    <w:name w:val="标题 2 Char"/>
    <w:basedOn w:val="44"/>
    <w:link w:val="4"/>
    <w:qFormat/>
    <w:uiPriority w:val="0"/>
    <w:rPr>
      <w:rFonts w:ascii="Arial" w:hAnsi="Arial" w:eastAsia="方正小标宋简体"/>
      <w:b/>
      <w:bCs/>
      <w:kern w:val="2"/>
      <w:sz w:val="44"/>
      <w:szCs w:val="32"/>
    </w:rPr>
  </w:style>
  <w:style w:type="character" w:customStyle="1" w:styleId="52">
    <w:name w:val="标题 3 Char"/>
    <w:basedOn w:val="44"/>
    <w:link w:val="5"/>
    <w:qFormat/>
    <w:uiPriority w:val="0"/>
    <w:rPr>
      <w:rFonts w:eastAsia="黑体"/>
      <w:b/>
      <w:bCs/>
      <w:kern w:val="2"/>
      <w:sz w:val="32"/>
      <w:szCs w:val="32"/>
    </w:rPr>
  </w:style>
  <w:style w:type="character" w:customStyle="1" w:styleId="53">
    <w:name w:val="标题 4 Char"/>
    <w:basedOn w:val="44"/>
    <w:link w:val="6"/>
    <w:qFormat/>
    <w:uiPriority w:val="0"/>
    <w:rPr>
      <w:rFonts w:ascii="Arial" w:hAnsi="Arial" w:eastAsia="黑体" w:cs="Times New Roman"/>
      <w:b/>
      <w:bCs/>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12A0E-370F-43D4-8076-A34B8551B560}">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Pages>
  <Words>7530</Words>
  <Characters>42921</Characters>
  <Lines>357</Lines>
  <Paragraphs>100</Paragraphs>
  <TotalTime>0</TotalTime>
  <ScaleCrop>false</ScaleCrop>
  <LinksUpToDate>false</LinksUpToDate>
  <CharactersWithSpaces>50351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2023-04-14T02:35:00Z</cp:lastPrinted>
  <dcterms:modified xsi:type="dcterms:W3CDTF">2025-01-03T00:42:04Z</dcterms:modified>
  <cp:revision>801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